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bidi w:val="0"/>
        <w:spacing w:line="360" w:lineRule="auto"/>
        <w:jc w:val="center"/>
        <w:rPr>
          <w:rFonts w:hint="eastAsia" w:ascii="宋体" w:hAnsi="宋体" w:eastAsia="宋体" w:cs="宋体"/>
          <w:sz w:val="44"/>
          <w:szCs w:val="44"/>
        </w:rPr>
      </w:pPr>
      <w:r>
        <w:rPr>
          <w:rFonts w:hint="eastAsia" w:ascii="宋体" w:hAnsi="宋体" w:eastAsia="宋体" w:cs="宋体"/>
          <w:sz w:val="44"/>
          <w:szCs w:val="44"/>
        </w:rPr>
        <w:t>质量诚信报告</w:t>
      </w:r>
    </w:p>
    <w:p>
      <w:pPr>
        <w:bidi w:val="0"/>
        <w:spacing w:line="360" w:lineRule="auto"/>
        <w:rPr>
          <w:rFonts w:hint="eastAsia" w:ascii="宋体" w:hAnsi="宋体" w:eastAsia="宋体" w:cs="宋体"/>
        </w:rPr>
      </w:pPr>
    </w:p>
    <w:p>
      <w:pPr>
        <w:bidi w:val="0"/>
        <w:spacing w:line="360" w:lineRule="auto"/>
        <w:rPr>
          <w:rFonts w:hint="eastAsia" w:ascii="宋体" w:hAnsi="宋体" w:eastAsia="宋体" w:cs="宋体"/>
        </w:rPr>
      </w:pPr>
    </w:p>
    <w:p>
      <w:pPr>
        <w:bidi w:val="0"/>
        <w:spacing w:line="360" w:lineRule="auto"/>
        <w:rPr>
          <w:rFonts w:hint="eastAsia" w:ascii="宋体" w:hAnsi="宋体" w:eastAsia="宋体" w:cs="宋体"/>
        </w:rPr>
      </w:pPr>
    </w:p>
    <w:p>
      <w:pPr>
        <w:bidi w:val="0"/>
        <w:spacing w:line="360" w:lineRule="auto"/>
        <w:rPr>
          <w:rFonts w:hint="eastAsia" w:ascii="宋体" w:hAnsi="宋体" w:eastAsia="宋体" w:cs="宋体"/>
        </w:rPr>
      </w:pPr>
    </w:p>
    <w:p>
      <w:pPr>
        <w:bidi w:val="0"/>
        <w:spacing w:line="360" w:lineRule="auto"/>
        <w:rPr>
          <w:rFonts w:hint="eastAsia" w:ascii="宋体" w:hAnsi="宋体" w:eastAsia="宋体" w:cs="宋体"/>
        </w:rPr>
      </w:pPr>
    </w:p>
    <w:p>
      <w:pPr>
        <w:bidi w:val="0"/>
        <w:spacing w:line="360" w:lineRule="auto"/>
        <w:rPr>
          <w:rFonts w:hint="eastAsia" w:ascii="宋体" w:hAnsi="宋体" w:eastAsia="宋体" w:cs="宋体"/>
        </w:rPr>
      </w:pPr>
      <w:r>
        <w:rPr>
          <w:rFonts w:hint="eastAsia" w:ascii="宋体" w:hAnsi="宋体" w:eastAsia="宋体" w:cs="宋体"/>
        </w:rPr>
        <w:drawing>
          <wp:inline distT="0" distB="0" distL="114300" distR="114300">
            <wp:extent cx="5801995" cy="2523490"/>
            <wp:effectExtent l="0" t="0" r="8255" b="1016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7"/>
                    <a:stretch>
                      <a:fillRect/>
                    </a:stretch>
                  </pic:blipFill>
                  <pic:spPr>
                    <a:xfrm>
                      <a:off x="0" y="0"/>
                      <a:ext cx="5801995" cy="2523490"/>
                    </a:xfrm>
                    <a:prstGeom prst="rect">
                      <a:avLst/>
                    </a:prstGeom>
                    <a:noFill/>
                    <a:ln>
                      <a:noFill/>
                    </a:ln>
                  </pic:spPr>
                </pic:pic>
              </a:graphicData>
            </a:graphic>
          </wp:inline>
        </w:drawing>
      </w:r>
    </w:p>
    <w:p>
      <w:pPr>
        <w:bidi w:val="0"/>
        <w:spacing w:line="360" w:lineRule="auto"/>
        <w:rPr>
          <w:rFonts w:hint="eastAsia" w:ascii="宋体" w:hAnsi="宋体" w:eastAsia="宋体" w:cs="宋体"/>
        </w:rPr>
      </w:pPr>
    </w:p>
    <w:p>
      <w:pPr>
        <w:bidi w:val="0"/>
        <w:spacing w:line="360" w:lineRule="auto"/>
        <w:rPr>
          <w:rFonts w:hint="eastAsia" w:ascii="宋体" w:hAnsi="宋体" w:eastAsia="宋体" w:cs="宋体"/>
        </w:rPr>
      </w:pPr>
    </w:p>
    <w:p>
      <w:pPr>
        <w:bidi w:val="0"/>
        <w:spacing w:line="360" w:lineRule="auto"/>
        <w:rPr>
          <w:rFonts w:hint="eastAsia" w:ascii="宋体" w:hAnsi="宋体" w:eastAsia="宋体" w:cs="宋体"/>
        </w:rPr>
      </w:pPr>
    </w:p>
    <w:p>
      <w:pPr>
        <w:bidi w:val="0"/>
        <w:spacing w:line="360" w:lineRule="auto"/>
        <w:jc w:val="center"/>
        <w:rPr>
          <w:rFonts w:hint="eastAsia" w:ascii="宋体" w:hAnsi="宋体" w:eastAsia="宋体" w:cs="宋体"/>
          <w:sz w:val="28"/>
          <w:szCs w:val="28"/>
        </w:rPr>
      </w:pPr>
    </w:p>
    <w:p>
      <w:pPr>
        <w:bidi w:val="0"/>
        <w:spacing w:line="360" w:lineRule="auto"/>
        <w:jc w:val="center"/>
        <w:rPr>
          <w:rFonts w:hint="eastAsia" w:ascii="宋体" w:hAnsi="宋体" w:eastAsia="宋体" w:cs="宋体"/>
          <w:sz w:val="28"/>
          <w:szCs w:val="28"/>
        </w:rPr>
      </w:pPr>
      <w:r>
        <w:rPr>
          <w:rFonts w:hint="eastAsia" w:ascii="宋体" w:hAnsi="宋体" w:eastAsia="宋体" w:cs="宋体"/>
          <w:sz w:val="28"/>
          <w:szCs w:val="28"/>
          <w:lang w:eastAsia="zh-CN"/>
        </w:rPr>
        <w:t>绍兴山海纺织</w:t>
      </w:r>
      <w:r>
        <w:rPr>
          <w:rFonts w:hint="eastAsia" w:ascii="宋体" w:hAnsi="宋体" w:eastAsia="宋体" w:cs="宋体"/>
          <w:sz w:val="28"/>
          <w:szCs w:val="28"/>
        </w:rPr>
        <w:t>有限公司</w:t>
      </w:r>
    </w:p>
    <w:p>
      <w:pPr>
        <w:spacing w:line="360" w:lineRule="auto"/>
        <w:jc w:val="center"/>
        <w:rPr>
          <w:rFonts w:hint="eastAsia" w:ascii="宋体" w:hAnsi="宋体" w:eastAsia="宋体" w:cs="宋体"/>
          <w:sz w:val="28"/>
          <w:szCs w:val="28"/>
          <w:lang w:eastAsia="zh-CN"/>
        </w:rPr>
      </w:pPr>
      <w:r>
        <w:rPr>
          <w:rFonts w:hint="eastAsia" w:ascii="宋体" w:hAnsi="宋体" w:eastAsia="宋体" w:cs="宋体"/>
          <w:sz w:val="28"/>
          <w:szCs w:val="28"/>
        </w:rPr>
        <w:t>二〇二</w:t>
      </w:r>
      <w:r>
        <w:rPr>
          <w:rFonts w:hint="eastAsia" w:ascii="宋体" w:hAnsi="宋体" w:eastAsia="宋体" w:cs="宋体"/>
          <w:sz w:val="28"/>
          <w:szCs w:val="28"/>
          <w:lang w:eastAsia="zh-CN"/>
        </w:rPr>
        <w:t>一</w:t>
      </w:r>
      <w:r>
        <w:rPr>
          <w:rFonts w:hint="eastAsia" w:ascii="宋体" w:hAnsi="宋体" w:eastAsia="宋体" w:cs="宋体"/>
          <w:sz w:val="28"/>
          <w:szCs w:val="28"/>
        </w:rPr>
        <w:t>年</w:t>
      </w:r>
      <w:r>
        <w:rPr>
          <w:rFonts w:hint="eastAsia" w:ascii="宋体" w:hAnsi="宋体" w:eastAsia="宋体" w:cs="宋体"/>
          <w:sz w:val="28"/>
          <w:szCs w:val="28"/>
          <w:lang w:eastAsia="zh-CN"/>
        </w:rPr>
        <w:t>六月</w:t>
      </w:r>
    </w:p>
    <w:p>
      <w:pPr>
        <w:spacing w:line="360" w:lineRule="auto"/>
        <w:rPr>
          <w:rFonts w:hint="eastAsia" w:ascii="宋体" w:hAnsi="宋体" w:eastAsia="宋体" w:cs="宋体"/>
          <w:sz w:val="28"/>
          <w:szCs w:val="28"/>
          <w:lang w:eastAsia="zh-CN"/>
        </w:rPr>
      </w:pPr>
      <w:r>
        <w:rPr>
          <w:rFonts w:hint="eastAsia" w:ascii="宋体" w:hAnsi="宋体" w:eastAsia="宋体" w:cs="宋体"/>
          <w:sz w:val="28"/>
          <w:szCs w:val="28"/>
          <w:lang w:eastAsia="zh-CN"/>
        </w:rPr>
        <w:br w:type="page"/>
      </w:r>
    </w:p>
    <w:sdt>
      <w:sdtPr>
        <w:rPr>
          <w:rFonts w:ascii="宋体" w:hAnsi="宋体" w:eastAsia="宋体" w:cs="宋体"/>
          <w:sz w:val="21"/>
          <w:szCs w:val="22"/>
          <w:lang w:val="en-US" w:eastAsia="zh-CN" w:bidi="ar-SA"/>
        </w:rPr>
        <w:id w:val="147459215"/>
        <w15:color w:val="DBDBDB"/>
        <w:docPartObj>
          <w:docPartGallery w:val="Table of Contents"/>
          <w:docPartUnique/>
        </w:docPartObj>
      </w:sdtPr>
      <w:sdtEndPr>
        <w:rPr>
          <w:rFonts w:ascii="宋体" w:hAnsi="宋体" w:eastAsia="宋体" w:cs="宋体"/>
          <w:sz w:val="21"/>
          <w:szCs w:val="22"/>
          <w:lang w:val="en-US" w:eastAsia="zh-CN" w:bidi="ar-SA"/>
        </w:rPr>
      </w:sdtEndPr>
      <w:sdtContent>
        <w:p>
          <w:pPr>
            <w:spacing w:before="0" w:beforeLines="0" w:after="0" w:afterLines="0" w:line="240" w:lineRule="auto"/>
            <w:ind w:left="0" w:leftChars="0" w:right="0" w:rightChars="0" w:firstLine="0" w:firstLineChars="0"/>
            <w:jc w:val="center"/>
          </w:pPr>
          <w:r>
            <w:rPr>
              <w:rFonts w:ascii="宋体" w:hAnsi="宋体" w:eastAsia="宋体"/>
              <w:sz w:val="21"/>
            </w:rPr>
            <w:t>目录</w:t>
          </w:r>
        </w:p>
        <w:p>
          <w:pPr>
            <w:pStyle w:val="6"/>
            <w:tabs>
              <w:tab w:val="right" w:pos="3200"/>
              <w:tab w:val="right" w:leader="dot" w:pos="8306"/>
            </w:tabs>
            <w:rPr>
              <w:sz w:val="24"/>
              <w:szCs w:val="24"/>
            </w:rPr>
          </w:pPr>
          <w:r>
            <w:fldChar w:fldCharType="begin"/>
          </w:r>
          <w:r>
            <w:instrText xml:space="preserve">TOC \o "1-3" \h \u </w:instrText>
          </w:r>
          <w:r>
            <w:fldChar w:fldCharType="separate"/>
          </w:r>
          <w:r>
            <w:rPr>
              <w:sz w:val="24"/>
              <w:szCs w:val="24"/>
            </w:rPr>
            <w:fldChar w:fldCharType="begin"/>
          </w:r>
          <w:r>
            <w:rPr>
              <w:sz w:val="24"/>
              <w:szCs w:val="24"/>
            </w:rPr>
            <w:instrText xml:space="preserve"> HYPERLINK \l _Toc19695 </w:instrText>
          </w:r>
          <w:r>
            <w:rPr>
              <w:sz w:val="24"/>
              <w:szCs w:val="24"/>
            </w:rPr>
            <w:fldChar w:fldCharType="separate"/>
          </w:r>
          <w:r>
            <w:rPr>
              <w:rFonts w:hint="eastAsia" w:ascii="宋体" w:hAnsi="宋体" w:eastAsia="宋体" w:cs="宋体"/>
              <w:bCs/>
              <w:sz w:val="24"/>
              <w:szCs w:val="24"/>
            </w:rPr>
            <w:t>第一部分</w:t>
          </w:r>
          <w:r>
            <w:rPr>
              <w:rFonts w:hint="eastAsia" w:ascii="宋体" w:hAnsi="宋体" w:eastAsia="宋体" w:cs="宋体"/>
              <w:bCs/>
              <w:sz w:val="24"/>
              <w:szCs w:val="24"/>
            </w:rPr>
            <w:tab/>
          </w:r>
          <w:r>
            <w:rPr>
              <w:rFonts w:hint="eastAsia" w:ascii="宋体" w:hAnsi="宋体" w:eastAsia="宋体" w:cs="宋体"/>
              <w:bCs/>
              <w:sz w:val="24"/>
              <w:szCs w:val="24"/>
            </w:rPr>
            <w:t>报告前言</w:t>
          </w:r>
          <w:r>
            <w:rPr>
              <w:sz w:val="24"/>
              <w:szCs w:val="24"/>
            </w:rPr>
            <w:tab/>
          </w:r>
          <w:r>
            <w:rPr>
              <w:sz w:val="24"/>
              <w:szCs w:val="24"/>
            </w:rPr>
            <w:fldChar w:fldCharType="begin"/>
          </w:r>
          <w:r>
            <w:rPr>
              <w:sz w:val="24"/>
              <w:szCs w:val="24"/>
            </w:rPr>
            <w:instrText xml:space="preserve"> PAGEREF _Toc19695 \h </w:instrText>
          </w:r>
          <w:r>
            <w:rPr>
              <w:sz w:val="24"/>
              <w:szCs w:val="24"/>
            </w:rPr>
            <w:fldChar w:fldCharType="separate"/>
          </w:r>
          <w:r>
            <w:rPr>
              <w:sz w:val="24"/>
              <w:szCs w:val="24"/>
            </w:rPr>
            <w:t>3</w:t>
          </w:r>
          <w:r>
            <w:rPr>
              <w:sz w:val="24"/>
              <w:szCs w:val="24"/>
            </w:rPr>
            <w:fldChar w:fldCharType="end"/>
          </w:r>
          <w:r>
            <w:rPr>
              <w:sz w:val="24"/>
              <w:szCs w:val="24"/>
            </w:rPr>
            <w:fldChar w:fldCharType="end"/>
          </w:r>
        </w:p>
        <w:p>
          <w:pPr>
            <w:pStyle w:val="6"/>
            <w:tabs>
              <w:tab w:val="right" w:leader="dot" w:pos="8306"/>
            </w:tabs>
            <w:rPr>
              <w:sz w:val="24"/>
              <w:szCs w:val="24"/>
            </w:rPr>
          </w:pPr>
          <w:r>
            <w:rPr>
              <w:sz w:val="24"/>
              <w:szCs w:val="24"/>
            </w:rPr>
            <w:fldChar w:fldCharType="begin"/>
          </w:r>
          <w:r>
            <w:rPr>
              <w:sz w:val="24"/>
              <w:szCs w:val="24"/>
            </w:rPr>
            <w:instrText xml:space="preserve"> HYPERLINK \l _Toc10290 </w:instrText>
          </w:r>
          <w:r>
            <w:rPr>
              <w:sz w:val="24"/>
              <w:szCs w:val="24"/>
            </w:rPr>
            <w:fldChar w:fldCharType="separate"/>
          </w:r>
          <w:r>
            <w:rPr>
              <w:rFonts w:hint="eastAsia" w:ascii="宋体" w:hAnsi="宋体" w:eastAsia="宋体" w:cs="宋体"/>
              <w:bCs/>
              <w:sz w:val="24"/>
              <w:szCs w:val="24"/>
            </w:rPr>
            <w:t>第二部分 报告正文</w:t>
          </w:r>
          <w:r>
            <w:rPr>
              <w:sz w:val="24"/>
              <w:szCs w:val="24"/>
            </w:rPr>
            <w:tab/>
          </w:r>
          <w:r>
            <w:rPr>
              <w:sz w:val="24"/>
              <w:szCs w:val="24"/>
            </w:rPr>
            <w:fldChar w:fldCharType="begin"/>
          </w:r>
          <w:r>
            <w:rPr>
              <w:sz w:val="24"/>
              <w:szCs w:val="24"/>
            </w:rPr>
            <w:instrText xml:space="preserve"> PAGEREF _Toc10290 \h </w:instrText>
          </w:r>
          <w:r>
            <w:rPr>
              <w:sz w:val="24"/>
              <w:szCs w:val="24"/>
            </w:rPr>
            <w:fldChar w:fldCharType="separate"/>
          </w:r>
          <w:r>
            <w:rPr>
              <w:sz w:val="24"/>
              <w:szCs w:val="24"/>
            </w:rPr>
            <w:t>5</w:t>
          </w:r>
          <w:r>
            <w:rPr>
              <w:sz w:val="24"/>
              <w:szCs w:val="24"/>
            </w:rPr>
            <w:fldChar w:fldCharType="end"/>
          </w:r>
          <w:r>
            <w:rPr>
              <w:sz w:val="24"/>
              <w:szCs w:val="24"/>
            </w:rPr>
            <w:fldChar w:fldCharType="end"/>
          </w:r>
        </w:p>
        <w:p>
          <w:pPr>
            <w:pStyle w:val="7"/>
            <w:tabs>
              <w:tab w:val="right" w:leader="dot" w:pos="8306"/>
            </w:tabs>
            <w:rPr>
              <w:sz w:val="24"/>
              <w:szCs w:val="24"/>
            </w:rPr>
          </w:pPr>
          <w:r>
            <w:rPr>
              <w:sz w:val="24"/>
              <w:szCs w:val="24"/>
            </w:rPr>
            <w:fldChar w:fldCharType="begin"/>
          </w:r>
          <w:r>
            <w:rPr>
              <w:sz w:val="24"/>
              <w:szCs w:val="24"/>
            </w:rPr>
            <w:instrText xml:space="preserve"> HYPERLINK \l _Toc6242 </w:instrText>
          </w:r>
          <w:r>
            <w:rPr>
              <w:sz w:val="24"/>
              <w:szCs w:val="24"/>
            </w:rPr>
            <w:fldChar w:fldCharType="separate"/>
          </w:r>
          <w:r>
            <w:rPr>
              <w:rFonts w:hint="eastAsia" w:ascii="宋体" w:hAnsi="宋体" w:eastAsia="宋体" w:cs="宋体"/>
              <w:sz w:val="24"/>
              <w:szCs w:val="24"/>
            </w:rPr>
            <w:t>一、公司质量理念</w:t>
          </w:r>
          <w:r>
            <w:rPr>
              <w:sz w:val="24"/>
              <w:szCs w:val="24"/>
            </w:rPr>
            <w:tab/>
          </w:r>
          <w:r>
            <w:rPr>
              <w:sz w:val="24"/>
              <w:szCs w:val="24"/>
            </w:rPr>
            <w:fldChar w:fldCharType="begin"/>
          </w:r>
          <w:r>
            <w:rPr>
              <w:sz w:val="24"/>
              <w:szCs w:val="24"/>
            </w:rPr>
            <w:instrText xml:space="preserve"> PAGEREF _Toc6242 \h </w:instrText>
          </w:r>
          <w:r>
            <w:rPr>
              <w:sz w:val="24"/>
              <w:szCs w:val="24"/>
            </w:rPr>
            <w:fldChar w:fldCharType="separate"/>
          </w:r>
          <w:r>
            <w:rPr>
              <w:sz w:val="24"/>
              <w:szCs w:val="24"/>
            </w:rPr>
            <w:t>5</w:t>
          </w:r>
          <w:r>
            <w:rPr>
              <w:sz w:val="24"/>
              <w:szCs w:val="24"/>
            </w:rPr>
            <w:fldChar w:fldCharType="end"/>
          </w:r>
          <w:r>
            <w:rPr>
              <w:sz w:val="24"/>
              <w:szCs w:val="24"/>
            </w:rPr>
            <w:fldChar w:fldCharType="end"/>
          </w:r>
        </w:p>
        <w:p>
          <w:pPr>
            <w:pStyle w:val="7"/>
            <w:tabs>
              <w:tab w:val="right" w:leader="dot" w:pos="8306"/>
            </w:tabs>
            <w:rPr>
              <w:sz w:val="24"/>
              <w:szCs w:val="24"/>
            </w:rPr>
          </w:pPr>
          <w:r>
            <w:rPr>
              <w:sz w:val="24"/>
              <w:szCs w:val="24"/>
            </w:rPr>
            <w:fldChar w:fldCharType="begin"/>
          </w:r>
          <w:r>
            <w:rPr>
              <w:sz w:val="24"/>
              <w:szCs w:val="24"/>
            </w:rPr>
            <w:instrText xml:space="preserve"> HYPERLINK \l _Toc28760 </w:instrText>
          </w:r>
          <w:r>
            <w:rPr>
              <w:sz w:val="24"/>
              <w:szCs w:val="24"/>
            </w:rPr>
            <w:fldChar w:fldCharType="separate"/>
          </w:r>
          <w:r>
            <w:rPr>
              <w:rFonts w:hint="eastAsia" w:ascii="宋体" w:hAnsi="宋体" w:eastAsia="宋体" w:cs="宋体"/>
              <w:sz w:val="24"/>
              <w:szCs w:val="24"/>
            </w:rPr>
            <w:t>二、内部质量管理</w:t>
          </w:r>
          <w:r>
            <w:rPr>
              <w:sz w:val="24"/>
              <w:szCs w:val="24"/>
            </w:rPr>
            <w:tab/>
          </w:r>
          <w:r>
            <w:rPr>
              <w:sz w:val="24"/>
              <w:szCs w:val="24"/>
            </w:rPr>
            <w:fldChar w:fldCharType="begin"/>
          </w:r>
          <w:r>
            <w:rPr>
              <w:sz w:val="24"/>
              <w:szCs w:val="24"/>
            </w:rPr>
            <w:instrText xml:space="preserve"> PAGEREF _Toc28760 \h </w:instrText>
          </w:r>
          <w:r>
            <w:rPr>
              <w:sz w:val="24"/>
              <w:szCs w:val="24"/>
            </w:rPr>
            <w:fldChar w:fldCharType="separate"/>
          </w:r>
          <w:r>
            <w:rPr>
              <w:sz w:val="24"/>
              <w:szCs w:val="24"/>
            </w:rPr>
            <w:t>5</w:t>
          </w:r>
          <w:r>
            <w:rPr>
              <w:sz w:val="24"/>
              <w:szCs w:val="24"/>
            </w:rPr>
            <w:fldChar w:fldCharType="end"/>
          </w:r>
          <w:r>
            <w:rPr>
              <w:sz w:val="24"/>
              <w:szCs w:val="24"/>
            </w:rPr>
            <w:fldChar w:fldCharType="end"/>
          </w:r>
        </w:p>
        <w:p>
          <w:pPr>
            <w:pStyle w:val="8"/>
            <w:tabs>
              <w:tab w:val="right" w:leader="dot" w:pos="8306"/>
            </w:tabs>
            <w:rPr>
              <w:sz w:val="24"/>
              <w:szCs w:val="24"/>
            </w:rPr>
          </w:pPr>
          <w:r>
            <w:rPr>
              <w:sz w:val="24"/>
              <w:szCs w:val="24"/>
            </w:rPr>
            <w:fldChar w:fldCharType="begin"/>
          </w:r>
          <w:r>
            <w:rPr>
              <w:sz w:val="24"/>
              <w:szCs w:val="24"/>
            </w:rPr>
            <w:instrText xml:space="preserve"> HYPERLINK \l _Toc9109 </w:instrText>
          </w:r>
          <w:r>
            <w:rPr>
              <w:sz w:val="24"/>
              <w:szCs w:val="24"/>
            </w:rPr>
            <w:fldChar w:fldCharType="separate"/>
          </w:r>
          <w:r>
            <w:rPr>
              <w:rFonts w:hint="eastAsia" w:ascii="宋体" w:hAnsi="宋体" w:eastAsia="宋体" w:cs="宋体"/>
              <w:sz w:val="24"/>
              <w:szCs w:val="24"/>
              <w:lang w:val="en-US" w:eastAsia="zh-CN"/>
            </w:rPr>
            <w:t>2.1</w:t>
          </w:r>
          <w:r>
            <w:rPr>
              <w:rFonts w:hint="eastAsia" w:ascii="宋体" w:hAnsi="宋体" w:eastAsia="宋体" w:cs="宋体"/>
              <w:sz w:val="24"/>
              <w:szCs w:val="24"/>
            </w:rPr>
            <w:t>质量管理机构</w:t>
          </w:r>
          <w:r>
            <w:rPr>
              <w:sz w:val="24"/>
              <w:szCs w:val="24"/>
            </w:rPr>
            <w:tab/>
          </w:r>
          <w:r>
            <w:rPr>
              <w:sz w:val="24"/>
              <w:szCs w:val="24"/>
            </w:rPr>
            <w:fldChar w:fldCharType="begin"/>
          </w:r>
          <w:r>
            <w:rPr>
              <w:sz w:val="24"/>
              <w:szCs w:val="24"/>
            </w:rPr>
            <w:instrText xml:space="preserve"> PAGEREF _Toc9109 \h </w:instrText>
          </w:r>
          <w:r>
            <w:rPr>
              <w:sz w:val="24"/>
              <w:szCs w:val="24"/>
            </w:rPr>
            <w:fldChar w:fldCharType="separate"/>
          </w:r>
          <w:r>
            <w:rPr>
              <w:sz w:val="24"/>
              <w:szCs w:val="24"/>
            </w:rPr>
            <w:t>5</w:t>
          </w:r>
          <w:r>
            <w:rPr>
              <w:sz w:val="24"/>
              <w:szCs w:val="24"/>
            </w:rPr>
            <w:fldChar w:fldCharType="end"/>
          </w:r>
          <w:r>
            <w:rPr>
              <w:sz w:val="24"/>
              <w:szCs w:val="24"/>
            </w:rPr>
            <w:fldChar w:fldCharType="end"/>
          </w:r>
        </w:p>
        <w:p>
          <w:pPr>
            <w:pStyle w:val="8"/>
            <w:tabs>
              <w:tab w:val="right" w:leader="dot" w:pos="8306"/>
            </w:tabs>
            <w:rPr>
              <w:sz w:val="24"/>
              <w:szCs w:val="24"/>
            </w:rPr>
          </w:pPr>
          <w:r>
            <w:rPr>
              <w:sz w:val="24"/>
              <w:szCs w:val="24"/>
            </w:rPr>
            <w:fldChar w:fldCharType="begin"/>
          </w:r>
          <w:r>
            <w:rPr>
              <w:sz w:val="24"/>
              <w:szCs w:val="24"/>
            </w:rPr>
            <w:instrText xml:space="preserve"> HYPERLINK \l _Toc31344 </w:instrText>
          </w:r>
          <w:r>
            <w:rPr>
              <w:sz w:val="24"/>
              <w:szCs w:val="24"/>
            </w:rPr>
            <w:fldChar w:fldCharType="separate"/>
          </w:r>
          <w:r>
            <w:rPr>
              <w:rFonts w:hint="eastAsia" w:ascii="宋体" w:hAnsi="宋体" w:eastAsia="宋体" w:cs="宋体"/>
              <w:sz w:val="24"/>
              <w:szCs w:val="24"/>
              <w:lang w:val="en-US" w:eastAsia="zh-CN"/>
            </w:rPr>
            <w:t>2.2</w:t>
          </w:r>
          <w:r>
            <w:rPr>
              <w:rFonts w:hint="eastAsia" w:ascii="宋体" w:hAnsi="宋体" w:eastAsia="宋体" w:cs="宋体"/>
              <w:sz w:val="24"/>
              <w:szCs w:val="24"/>
            </w:rPr>
            <w:t>质量管理体系</w:t>
          </w:r>
          <w:r>
            <w:rPr>
              <w:sz w:val="24"/>
              <w:szCs w:val="24"/>
            </w:rPr>
            <w:tab/>
          </w:r>
          <w:r>
            <w:rPr>
              <w:sz w:val="24"/>
              <w:szCs w:val="24"/>
            </w:rPr>
            <w:fldChar w:fldCharType="begin"/>
          </w:r>
          <w:r>
            <w:rPr>
              <w:sz w:val="24"/>
              <w:szCs w:val="24"/>
            </w:rPr>
            <w:instrText xml:space="preserve"> PAGEREF _Toc31344 \h </w:instrText>
          </w:r>
          <w:r>
            <w:rPr>
              <w:sz w:val="24"/>
              <w:szCs w:val="24"/>
            </w:rPr>
            <w:fldChar w:fldCharType="separate"/>
          </w:r>
          <w:r>
            <w:rPr>
              <w:sz w:val="24"/>
              <w:szCs w:val="24"/>
            </w:rPr>
            <w:t>6</w:t>
          </w:r>
          <w:r>
            <w:rPr>
              <w:sz w:val="24"/>
              <w:szCs w:val="24"/>
            </w:rPr>
            <w:fldChar w:fldCharType="end"/>
          </w:r>
          <w:r>
            <w:rPr>
              <w:sz w:val="24"/>
              <w:szCs w:val="24"/>
            </w:rPr>
            <w:fldChar w:fldCharType="end"/>
          </w:r>
        </w:p>
        <w:p>
          <w:pPr>
            <w:pStyle w:val="8"/>
            <w:tabs>
              <w:tab w:val="right" w:leader="dot" w:pos="8306"/>
            </w:tabs>
            <w:rPr>
              <w:sz w:val="24"/>
              <w:szCs w:val="24"/>
            </w:rPr>
          </w:pPr>
          <w:r>
            <w:rPr>
              <w:sz w:val="24"/>
              <w:szCs w:val="24"/>
            </w:rPr>
            <w:fldChar w:fldCharType="begin"/>
          </w:r>
          <w:r>
            <w:rPr>
              <w:sz w:val="24"/>
              <w:szCs w:val="24"/>
            </w:rPr>
            <w:instrText xml:space="preserve"> HYPERLINK \l _Toc32348 </w:instrText>
          </w:r>
          <w:r>
            <w:rPr>
              <w:sz w:val="24"/>
              <w:szCs w:val="24"/>
            </w:rPr>
            <w:fldChar w:fldCharType="separate"/>
          </w:r>
          <w:r>
            <w:rPr>
              <w:rFonts w:hint="eastAsia" w:ascii="宋体" w:hAnsi="宋体" w:eastAsia="宋体" w:cs="宋体"/>
              <w:sz w:val="24"/>
              <w:szCs w:val="24"/>
              <w:lang w:val="en-US" w:eastAsia="zh-CN"/>
            </w:rPr>
            <w:t>2.3</w:t>
          </w:r>
          <w:r>
            <w:rPr>
              <w:rFonts w:hint="eastAsia" w:ascii="宋体" w:hAnsi="宋体" w:eastAsia="宋体" w:cs="宋体"/>
              <w:sz w:val="24"/>
              <w:szCs w:val="24"/>
            </w:rPr>
            <w:t>公司质量管理方法</w:t>
          </w:r>
          <w:r>
            <w:rPr>
              <w:sz w:val="24"/>
              <w:szCs w:val="24"/>
            </w:rPr>
            <w:tab/>
          </w:r>
          <w:r>
            <w:rPr>
              <w:sz w:val="24"/>
              <w:szCs w:val="24"/>
            </w:rPr>
            <w:fldChar w:fldCharType="begin"/>
          </w:r>
          <w:r>
            <w:rPr>
              <w:sz w:val="24"/>
              <w:szCs w:val="24"/>
            </w:rPr>
            <w:instrText xml:space="preserve"> PAGEREF _Toc32348 \h </w:instrText>
          </w:r>
          <w:r>
            <w:rPr>
              <w:sz w:val="24"/>
              <w:szCs w:val="24"/>
            </w:rPr>
            <w:fldChar w:fldCharType="separate"/>
          </w:r>
          <w:r>
            <w:rPr>
              <w:sz w:val="24"/>
              <w:szCs w:val="24"/>
            </w:rPr>
            <w:t>8</w:t>
          </w:r>
          <w:r>
            <w:rPr>
              <w:sz w:val="24"/>
              <w:szCs w:val="24"/>
            </w:rPr>
            <w:fldChar w:fldCharType="end"/>
          </w:r>
          <w:r>
            <w:rPr>
              <w:sz w:val="24"/>
              <w:szCs w:val="24"/>
            </w:rPr>
            <w:fldChar w:fldCharType="end"/>
          </w:r>
        </w:p>
        <w:p>
          <w:pPr>
            <w:pStyle w:val="7"/>
            <w:tabs>
              <w:tab w:val="right" w:leader="dot" w:pos="8306"/>
            </w:tabs>
            <w:rPr>
              <w:sz w:val="24"/>
              <w:szCs w:val="24"/>
            </w:rPr>
          </w:pPr>
          <w:r>
            <w:rPr>
              <w:sz w:val="24"/>
              <w:szCs w:val="24"/>
            </w:rPr>
            <w:fldChar w:fldCharType="begin"/>
          </w:r>
          <w:r>
            <w:rPr>
              <w:sz w:val="24"/>
              <w:szCs w:val="24"/>
            </w:rPr>
            <w:instrText xml:space="preserve"> HYPERLINK \l _Toc2705 </w:instrText>
          </w:r>
          <w:r>
            <w:rPr>
              <w:sz w:val="24"/>
              <w:szCs w:val="24"/>
            </w:rPr>
            <w:fldChar w:fldCharType="separate"/>
          </w:r>
          <w:r>
            <w:rPr>
              <w:rFonts w:hint="eastAsia" w:ascii="宋体" w:hAnsi="宋体" w:eastAsia="宋体" w:cs="宋体"/>
              <w:bCs/>
              <w:sz w:val="24"/>
              <w:szCs w:val="24"/>
              <w:lang w:val="en-US" w:eastAsia="zh-CN"/>
            </w:rPr>
            <w:t>三、企业质量诚信</w:t>
          </w:r>
          <w:r>
            <w:rPr>
              <w:sz w:val="24"/>
              <w:szCs w:val="24"/>
            </w:rPr>
            <w:tab/>
          </w:r>
          <w:r>
            <w:rPr>
              <w:sz w:val="24"/>
              <w:szCs w:val="24"/>
            </w:rPr>
            <w:fldChar w:fldCharType="begin"/>
          </w:r>
          <w:r>
            <w:rPr>
              <w:sz w:val="24"/>
              <w:szCs w:val="24"/>
            </w:rPr>
            <w:instrText xml:space="preserve"> PAGEREF _Toc2705 \h </w:instrText>
          </w:r>
          <w:r>
            <w:rPr>
              <w:sz w:val="24"/>
              <w:szCs w:val="24"/>
            </w:rPr>
            <w:fldChar w:fldCharType="separate"/>
          </w:r>
          <w:r>
            <w:rPr>
              <w:sz w:val="24"/>
              <w:szCs w:val="24"/>
            </w:rPr>
            <w:t>10</w:t>
          </w:r>
          <w:r>
            <w:rPr>
              <w:sz w:val="24"/>
              <w:szCs w:val="24"/>
            </w:rPr>
            <w:fldChar w:fldCharType="end"/>
          </w:r>
          <w:r>
            <w:rPr>
              <w:sz w:val="24"/>
              <w:szCs w:val="24"/>
            </w:rPr>
            <w:fldChar w:fldCharType="end"/>
          </w:r>
        </w:p>
        <w:p>
          <w:pPr>
            <w:pStyle w:val="8"/>
            <w:tabs>
              <w:tab w:val="right" w:leader="dot" w:pos="8306"/>
            </w:tabs>
            <w:rPr>
              <w:sz w:val="24"/>
              <w:szCs w:val="24"/>
            </w:rPr>
          </w:pPr>
          <w:r>
            <w:rPr>
              <w:sz w:val="24"/>
              <w:szCs w:val="24"/>
            </w:rPr>
            <w:fldChar w:fldCharType="begin"/>
          </w:r>
          <w:r>
            <w:rPr>
              <w:sz w:val="24"/>
              <w:szCs w:val="24"/>
            </w:rPr>
            <w:instrText xml:space="preserve"> HYPERLINK \l _Toc18876 </w:instrText>
          </w:r>
          <w:r>
            <w:rPr>
              <w:sz w:val="24"/>
              <w:szCs w:val="24"/>
            </w:rPr>
            <w:fldChar w:fldCharType="separate"/>
          </w:r>
          <w:r>
            <w:rPr>
              <w:rFonts w:hint="eastAsia" w:ascii="宋体" w:hAnsi="宋体" w:eastAsia="宋体" w:cs="宋体"/>
              <w:sz w:val="24"/>
              <w:szCs w:val="24"/>
              <w:lang w:val="en-US" w:eastAsia="zh-CN"/>
            </w:rPr>
            <w:t>3.1 质量诚信管理</w:t>
          </w:r>
          <w:r>
            <w:rPr>
              <w:sz w:val="24"/>
              <w:szCs w:val="24"/>
            </w:rPr>
            <w:tab/>
          </w:r>
          <w:r>
            <w:rPr>
              <w:sz w:val="24"/>
              <w:szCs w:val="24"/>
            </w:rPr>
            <w:fldChar w:fldCharType="begin"/>
          </w:r>
          <w:r>
            <w:rPr>
              <w:sz w:val="24"/>
              <w:szCs w:val="24"/>
            </w:rPr>
            <w:instrText xml:space="preserve"> PAGEREF _Toc18876 \h </w:instrText>
          </w:r>
          <w:r>
            <w:rPr>
              <w:sz w:val="24"/>
              <w:szCs w:val="24"/>
            </w:rPr>
            <w:fldChar w:fldCharType="separate"/>
          </w:r>
          <w:r>
            <w:rPr>
              <w:sz w:val="24"/>
              <w:szCs w:val="24"/>
            </w:rPr>
            <w:t>10</w:t>
          </w:r>
          <w:r>
            <w:rPr>
              <w:sz w:val="24"/>
              <w:szCs w:val="24"/>
            </w:rPr>
            <w:fldChar w:fldCharType="end"/>
          </w:r>
          <w:r>
            <w:rPr>
              <w:sz w:val="24"/>
              <w:szCs w:val="24"/>
            </w:rPr>
            <w:fldChar w:fldCharType="end"/>
          </w:r>
        </w:p>
        <w:p>
          <w:pPr>
            <w:pStyle w:val="8"/>
            <w:tabs>
              <w:tab w:val="right" w:leader="dot" w:pos="8306"/>
            </w:tabs>
            <w:rPr>
              <w:sz w:val="24"/>
              <w:szCs w:val="24"/>
            </w:rPr>
          </w:pPr>
          <w:r>
            <w:rPr>
              <w:sz w:val="24"/>
              <w:szCs w:val="24"/>
            </w:rPr>
            <w:fldChar w:fldCharType="begin"/>
          </w:r>
          <w:r>
            <w:rPr>
              <w:sz w:val="24"/>
              <w:szCs w:val="24"/>
            </w:rPr>
            <w:instrText xml:space="preserve"> HYPERLINK \l _Toc7627 </w:instrText>
          </w:r>
          <w:r>
            <w:rPr>
              <w:sz w:val="24"/>
              <w:szCs w:val="24"/>
            </w:rPr>
            <w:fldChar w:fldCharType="separate"/>
          </w:r>
          <w:r>
            <w:rPr>
              <w:rFonts w:hint="eastAsia" w:ascii="宋体" w:hAnsi="宋体" w:eastAsia="宋体" w:cs="宋体"/>
              <w:sz w:val="24"/>
              <w:szCs w:val="24"/>
              <w:lang w:val="en-US" w:eastAsia="zh-CN"/>
            </w:rPr>
            <w:t>3.2 质量文化建设</w:t>
          </w:r>
          <w:r>
            <w:rPr>
              <w:sz w:val="24"/>
              <w:szCs w:val="24"/>
            </w:rPr>
            <w:tab/>
          </w:r>
          <w:r>
            <w:rPr>
              <w:sz w:val="24"/>
              <w:szCs w:val="24"/>
            </w:rPr>
            <w:fldChar w:fldCharType="begin"/>
          </w:r>
          <w:r>
            <w:rPr>
              <w:sz w:val="24"/>
              <w:szCs w:val="24"/>
            </w:rPr>
            <w:instrText xml:space="preserve"> PAGEREF _Toc7627 \h </w:instrText>
          </w:r>
          <w:r>
            <w:rPr>
              <w:sz w:val="24"/>
              <w:szCs w:val="24"/>
            </w:rPr>
            <w:fldChar w:fldCharType="separate"/>
          </w:r>
          <w:r>
            <w:rPr>
              <w:sz w:val="24"/>
              <w:szCs w:val="24"/>
            </w:rPr>
            <w:t>12</w:t>
          </w:r>
          <w:r>
            <w:rPr>
              <w:sz w:val="24"/>
              <w:szCs w:val="24"/>
            </w:rPr>
            <w:fldChar w:fldCharType="end"/>
          </w:r>
          <w:r>
            <w:rPr>
              <w:sz w:val="24"/>
              <w:szCs w:val="24"/>
            </w:rPr>
            <w:fldChar w:fldCharType="end"/>
          </w:r>
        </w:p>
        <w:p>
          <w:pPr>
            <w:pStyle w:val="7"/>
            <w:tabs>
              <w:tab w:val="right" w:leader="dot" w:pos="8306"/>
            </w:tabs>
            <w:rPr>
              <w:sz w:val="24"/>
              <w:szCs w:val="24"/>
            </w:rPr>
          </w:pPr>
          <w:r>
            <w:rPr>
              <w:sz w:val="24"/>
              <w:szCs w:val="24"/>
            </w:rPr>
            <w:fldChar w:fldCharType="begin"/>
          </w:r>
          <w:r>
            <w:rPr>
              <w:sz w:val="24"/>
              <w:szCs w:val="24"/>
            </w:rPr>
            <w:instrText xml:space="preserve"> HYPERLINK \l _Toc30236 </w:instrText>
          </w:r>
          <w:r>
            <w:rPr>
              <w:sz w:val="24"/>
              <w:szCs w:val="24"/>
            </w:rPr>
            <w:fldChar w:fldCharType="separate"/>
          </w:r>
          <w:r>
            <w:rPr>
              <w:rFonts w:hint="eastAsia" w:ascii="宋体" w:hAnsi="宋体" w:eastAsia="宋体" w:cs="宋体"/>
              <w:sz w:val="24"/>
              <w:szCs w:val="24"/>
              <w:lang w:val="en-US" w:eastAsia="zh-CN"/>
            </w:rPr>
            <w:t>四、 企业质量基础</w:t>
          </w:r>
          <w:r>
            <w:rPr>
              <w:sz w:val="24"/>
              <w:szCs w:val="24"/>
            </w:rPr>
            <w:tab/>
          </w:r>
          <w:r>
            <w:rPr>
              <w:sz w:val="24"/>
              <w:szCs w:val="24"/>
            </w:rPr>
            <w:fldChar w:fldCharType="begin"/>
          </w:r>
          <w:r>
            <w:rPr>
              <w:sz w:val="24"/>
              <w:szCs w:val="24"/>
            </w:rPr>
            <w:instrText xml:space="preserve"> PAGEREF _Toc30236 \h </w:instrText>
          </w:r>
          <w:r>
            <w:rPr>
              <w:sz w:val="24"/>
              <w:szCs w:val="24"/>
            </w:rPr>
            <w:fldChar w:fldCharType="separate"/>
          </w:r>
          <w:r>
            <w:rPr>
              <w:sz w:val="24"/>
              <w:szCs w:val="24"/>
            </w:rPr>
            <w:t>12</w:t>
          </w:r>
          <w:r>
            <w:rPr>
              <w:sz w:val="24"/>
              <w:szCs w:val="24"/>
            </w:rPr>
            <w:fldChar w:fldCharType="end"/>
          </w:r>
          <w:r>
            <w:rPr>
              <w:sz w:val="24"/>
              <w:szCs w:val="24"/>
            </w:rPr>
            <w:fldChar w:fldCharType="end"/>
          </w:r>
        </w:p>
        <w:p>
          <w:pPr>
            <w:pStyle w:val="8"/>
            <w:tabs>
              <w:tab w:val="right" w:leader="dot" w:pos="8306"/>
            </w:tabs>
            <w:rPr>
              <w:sz w:val="24"/>
              <w:szCs w:val="24"/>
            </w:rPr>
          </w:pPr>
          <w:r>
            <w:rPr>
              <w:sz w:val="24"/>
              <w:szCs w:val="24"/>
            </w:rPr>
            <w:fldChar w:fldCharType="begin"/>
          </w:r>
          <w:r>
            <w:rPr>
              <w:sz w:val="24"/>
              <w:szCs w:val="24"/>
            </w:rPr>
            <w:instrText xml:space="preserve"> HYPERLINK \l _Toc5149 </w:instrText>
          </w:r>
          <w:r>
            <w:rPr>
              <w:sz w:val="24"/>
              <w:szCs w:val="24"/>
            </w:rPr>
            <w:fldChar w:fldCharType="separate"/>
          </w:r>
          <w:r>
            <w:rPr>
              <w:rFonts w:hint="eastAsia" w:ascii="宋体" w:hAnsi="宋体" w:eastAsia="宋体" w:cs="宋体"/>
              <w:sz w:val="24"/>
              <w:szCs w:val="24"/>
              <w:lang w:val="en-US" w:eastAsia="zh-CN"/>
            </w:rPr>
            <w:t>4.1 企业产品标准</w:t>
          </w:r>
          <w:r>
            <w:rPr>
              <w:sz w:val="24"/>
              <w:szCs w:val="24"/>
            </w:rPr>
            <w:tab/>
          </w:r>
          <w:r>
            <w:rPr>
              <w:sz w:val="24"/>
              <w:szCs w:val="24"/>
            </w:rPr>
            <w:fldChar w:fldCharType="begin"/>
          </w:r>
          <w:r>
            <w:rPr>
              <w:sz w:val="24"/>
              <w:szCs w:val="24"/>
            </w:rPr>
            <w:instrText xml:space="preserve"> PAGEREF _Toc5149 \h </w:instrText>
          </w:r>
          <w:r>
            <w:rPr>
              <w:sz w:val="24"/>
              <w:szCs w:val="24"/>
            </w:rPr>
            <w:fldChar w:fldCharType="separate"/>
          </w:r>
          <w:r>
            <w:rPr>
              <w:sz w:val="24"/>
              <w:szCs w:val="24"/>
            </w:rPr>
            <w:t>12</w:t>
          </w:r>
          <w:r>
            <w:rPr>
              <w:sz w:val="24"/>
              <w:szCs w:val="24"/>
            </w:rPr>
            <w:fldChar w:fldCharType="end"/>
          </w:r>
          <w:r>
            <w:rPr>
              <w:sz w:val="24"/>
              <w:szCs w:val="24"/>
            </w:rPr>
            <w:fldChar w:fldCharType="end"/>
          </w:r>
        </w:p>
        <w:p>
          <w:pPr>
            <w:pStyle w:val="8"/>
            <w:tabs>
              <w:tab w:val="right" w:leader="dot" w:pos="8306"/>
            </w:tabs>
            <w:rPr>
              <w:sz w:val="24"/>
              <w:szCs w:val="24"/>
            </w:rPr>
          </w:pPr>
          <w:r>
            <w:rPr>
              <w:sz w:val="24"/>
              <w:szCs w:val="24"/>
            </w:rPr>
            <w:fldChar w:fldCharType="begin"/>
          </w:r>
          <w:r>
            <w:rPr>
              <w:sz w:val="24"/>
              <w:szCs w:val="24"/>
            </w:rPr>
            <w:instrText xml:space="preserve"> HYPERLINK \l _Toc6125 </w:instrText>
          </w:r>
          <w:r>
            <w:rPr>
              <w:sz w:val="24"/>
              <w:szCs w:val="24"/>
            </w:rPr>
            <w:fldChar w:fldCharType="separate"/>
          </w:r>
          <w:r>
            <w:rPr>
              <w:rFonts w:hint="eastAsia" w:ascii="宋体" w:hAnsi="宋体" w:eastAsia="宋体" w:cs="宋体"/>
              <w:sz w:val="24"/>
              <w:szCs w:val="24"/>
              <w:lang w:val="en-US" w:eastAsia="zh-CN"/>
            </w:rPr>
            <w:t>4.2 企业计量水平</w:t>
          </w:r>
          <w:r>
            <w:rPr>
              <w:sz w:val="24"/>
              <w:szCs w:val="24"/>
            </w:rPr>
            <w:tab/>
          </w:r>
          <w:r>
            <w:rPr>
              <w:sz w:val="24"/>
              <w:szCs w:val="24"/>
            </w:rPr>
            <w:fldChar w:fldCharType="begin"/>
          </w:r>
          <w:r>
            <w:rPr>
              <w:sz w:val="24"/>
              <w:szCs w:val="24"/>
            </w:rPr>
            <w:instrText xml:space="preserve"> PAGEREF _Toc6125 \h </w:instrText>
          </w:r>
          <w:r>
            <w:rPr>
              <w:sz w:val="24"/>
              <w:szCs w:val="24"/>
            </w:rPr>
            <w:fldChar w:fldCharType="separate"/>
          </w:r>
          <w:r>
            <w:rPr>
              <w:sz w:val="24"/>
              <w:szCs w:val="24"/>
            </w:rPr>
            <w:t>12</w:t>
          </w:r>
          <w:r>
            <w:rPr>
              <w:sz w:val="24"/>
              <w:szCs w:val="24"/>
            </w:rPr>
            <w:fldChar w:fldCharType="end"/>
          </w:r>
          <w:r>
            <w:rPr>
              <w:sz w:val="24"/>
              <w:szCs w:val="24"/>
            </w:rPr>
            <w:fldChar w:fldCharType="end"/>
          </w:r>
        </w:p>
        <w:p>
          <w:pPr>
            <w:pStyle w:val="8"/>
            <w:tabs>
              <w:tab w:val="right" w:leader="dot" w:pos="8306"/>
            </w:tabs>
            <w:rPr>
              <w:sz w:val="24"/>
              <w:szCs w:val="24"/>
            </w:rPr>
          </w:pPr>
          <w:r>
            <w:rPr>
              <w:sz w:val="24"/>
              <w:szCs w:val="24"/>
            </w:rPr>
            <w:fldChar w:fldCharType="begin"/>
          </w:r>
          <w:r>
            <w:rPr>
              <w:sz w:val="24"/>
              <w:szCs w:val="24"/>
            </w:rPr>
            <w:instrText xml:space="preserve"> HYPERLINK \l _Toc15097 </w:instrText>
          </w:r>
          <w:r>
            <w:rPr>
              <w:sz w:val="24"/>
              <w:szCs w:val="24"/>
            </w:rPr>
            <w:fldChar w:fldCharType="separate"/>
          </w:r>
          <w:r>
            <w:rPr>
              <w:rFonts w:hint="eastAsia" w:ascii="宋体" w:hAnsi="宋体" w:eastAsia="宋体" w:cs="宋体"/>
              <w:sz w:val="24"/>
              <w:szCs w:val="24"/>
              <w:lang w:val="en-US" w:eastAsia="zh-CN"/>
            </w:rPr>
            <w:t>4.3 先进的加工制造工艺水平</w:t>
          </w:r>
          <w:r>
            <w:rPr>
              <w:sz w:val="24"/>
              <w:szCs w:val="24"/>
            </w:rPr>
            <w:tab/>
          </w:r>
          <w:r>
            <w:rPr>
              <w:sz w:val="24"/>
              <w:szCs w:val="24"/>
            </w:rPr>
            <w:fldChar w:fldCharType="begin"/>
          </w:r>
          <w:r>
            <w:rPr>
              <w:sz w:val="24"/>
              <w:szCs w:val="24"/>
            </w:rPr>
            <w:instrText xml:space="preserve"> PAGEREF _Toc15097 \h </w:instrText>
          </w:r>
          <w:r>
            <w:rPr>
              <w:sz w:val="24"/>
              <w:szCs w:val="24"/>
            </w:rPr>
            <w:fldChar w:fldCharType="separate"/>
          </w:r>
          <w:r>
            <w:rPr>
              <w:sz w:val="24"/>
              <w:szCs w:val="24"/>
            </w:rPr>
            <w:t>13</w:t>
          </w:r>
          <w:r>
            <w:rPr>
              <w:sz w:val="24"/>
              <w:szCs w:val="24"/>
            </w:rPr>
            <w:fldChar w:fldCharType="end"/>
          </w:r>
          <w:r>
            <w:rPr>
              <w:sz w:val="24"/>
              <w:szCs w:val="24"/>
            </w:rPr>
            <w:fldChar w:fldCharType="end"/>
          </w:r>
        </w:p>
        <w:p>
          <w:pPr>
            <w:pStyle w:val="8"/>
            <w:tabs>
              <w:tab w:val="right" w:leader="dot" w:pos="8306"/>
            </w:tabs>
            <w:rPr>
              <w:sz w:val="24"/>
              <w:szCs w:val="24"/>
            </w:rPr>
          </w:pPr>
          <w:r>
            <w:rPr>
              <w:sz w:val="24"/>
              <w:szCs w:val="24"/>
            </w:rPr>
            <w:fldChar w:fldCharType="begin"/>
          </w:r>
          <w:r>
            <w:rPr>
              <w:sz w:val="24"/>
              <w:szCs w:val="24"/>
            </w:rPr>
            <w:instrText xml:space="preserve"> HYPERLINK \l _Toc11919 </w:instrText>
          </w:r>
          <w:r>
            <w:rPr>
              <w:sz w:val="24"/>
              <w:szCs w:val="24"/>
            </w:rPr>
            <w:fldChar w:fldCharType="separate"/>
          </w:r>
          <w:r>
            <w:rPr>
              <w:rFonts w:hint="eastAsia" w:ascii="宋体" w:hAnsi="宋体" w:eastAsia="宋体" w:cs="宋体"/>
              <w:sz w:val="24"/>
              <w:szCs w:val="24"/>
              <w:lang w:val="en-US" w:eastAsia="zh-CN"/>
            </w:rPr>
            <w:t>4.4 领先的技术</w:t>
          </w:r>
          <w:r>
            <w:rPr>
              <w:sz w:val="24"/>
              <w:szCs w:val="24"/>
            </w:rPr>
            <w:tab/>
          </w:r>
          <w:r>
            <w:rPr>
              <w:sz w:val="24"/>
              <w:szCs w:val="24"/>
            </w:rPr>
            <w:fldChar w:fldCharType="begin"/>
          </w:r>
          <w:r>
            <w:rPr>
              <w:sz w:val="24"/>
              <w:szCs w:val="24"/>
            </w:rPr>
            <w:instrText xml:space="preserve"> PAGEREF _Toc11919 \h </w:instrText>
          </w:r>
          <w:r>
            <w:rPr>
              <w:sz w:val="24"/>
              <w:szCs w:val="24"/>
            </w:rPr>
            <w:fldChar w:fldCharType="separate"/>
          </w:r>
          <w:r>
            <w:rPr>
              <w:sz w:val="24"/>
              <w:szCs w:val="24"/>
            </w:rPr>
            <w:t>13</w:t>
          </w:r>
          <w:r>
            <w:rPr>
              <w:sz w:val="24"/>
              <w:szCs w:val="24"/>
            </w:rPr>
            <w:fldChar w:fldCharType="end"/>
          </w:r>
          <w:r>
            <w:rPr>
              <w:sz w:val="24"/>
              <w:szCs w:val="24"/>
            </w:rPr>
            <w:fldChar w:fldCharType="end"/>
          </w:r>
        </w:p>
        <w:p>
          <w:pPr>
            <w:pStyle w:val="8"/>
            <w:tabs>
              <w:tab w:val="right" w:leader="dot" w:pos="8306"/>
            </w:tabs>
            <w:rPr>
              <w:sz w:val="24"/>
              <w:szCs w:val="24"/>
            </w:rPr>
          </w:pPr>
          <w:r>
            <w:rPr>
              <w:sz w:val="24"/>
              <w:szCs w:val="24"/>
            </w:rPr>
            <w:fldChar w:fldCharType="begin"/>
          </w:r>
          <w:r>
            <w:rPr>
              <w:sz w:val="24"/>
              <w:szCs w:val="24"/>
            </w:rPr>
            <w:instrText xml:space="preserve"> HYPERLINK \l _Toc17676 </w:instrText>
          </w:r>
          <w:r>
            <w:rPr>
              <w:sz w:val="24"/>
              <w:szCs w:val="24"/>
            </w:rPr>
            <w:fldChar w:fldCharType="separate"/>
          </w:r>
          <w:r>
            <w:rPr>
              <w:rFonts w:hint="eastAsia" w:ascii="宋体" w:hAnsi="宋体" w:eastAsia="宋体" w:cs="宋体"/>
              <w:sz w:val="24"/>
              <w:szCs w:val="24"/>
              <w:lang w:val="en-US" w:eastAsia="zh-CN"/>
            </w:rPr>
            <w:t>4.5 安全、环境管理情况</w:t>
          </w:r>
          <w:r>
            <w:rPr>
              <w:sz w:val="24"/>
              <w:szCs w:val="24"/>
            </w:rPr>
            <w:tab/>
          </w:r>
          <w:r>
            <w:rPr>
              <w:sz w:val="24"/>
              <w:szCs w:val="24"/>
            </w:rPr>
            <w:fldChar w:fldCharType="begin"/>
          </w:r>
          <w:r>
            <w:rPr>
              <w:sz w:val="24"/>
              <w:szCs w:val="24"/>
            </w:rPr>
            <w:instrText xml:space="preserve"> PAGEREF _Toc17676 \h </w:instrText>
          </w:r>
          <w:r>
            <w:rPr>
              <w:sz w:val="24"/>
              <w:szCs w:val="24"/>
            </w:rPr>
            <w:fldChar w:fldCharType="separate"/>
          </w:r>
          <w:r>
            <w:rPr>
              <w:sz w:val="24"/>
              <w:szCs w:val="24"/>
            </w:rPr>
            <w:t>13</w:t>
          </w:r>
          <w:r>
            <w:rPr>
              <w:sz w:val="24"/>
              <w:szCs w:val="24"/>
            </w:rPr>
            <w:fldChar w:fldCharType="end"/>
          </w:r>
          <w:r>
            <w:rPr>
              <w:sz w:val="24"/>
              <w:szCs w:val="24"/>
            </w:rPr>
            <w:fldChar w:fldCharType="end"/>
          </w:r>
        </w:p>
        <w:p>
          <w:pPr>
            <w:pStyle w:val="7"/>
            <w:tabs>
              <w:tab w:val="right" w:leader="dot" w:pos="8306"/>
            </w:tabs>
            <w:rPr>
              <w:sz w:val="24"/>
              <w:szCs w:val="24"/>
            </w:rPr>
          </w:pPr>
          <w:r>
            <w:rPr>
              <w:sz w:val="24"/>
              <w:szCs w:val="24"/>
            </w:rPr>
            <w:fldChar w:fldCharType="begin"/>
          </w:r>
          <w:r>
            <w:rPr>
              <w:sz w:val="24"/>
              <w:szCs w:val="24"/>
            </w:rPr>
            <w:instrText xml:space="preserve"> HYPERLINK \l _Toc22410 </w:instrText>
          </w:r>
          <w:r>
            <w:rPr>
              <w:sz w:val="24"/>
              <w:szCs w:val="24"/>
            </w:rPr>
            <w:fldChar w:fldCharType="separate"/>
          </w:r>
          <w:r>
            <w:rPr>
              <w:rFonts w:hint="eastAsia" w:ascii="宋体" w:hAnsi="宋体" w:eastAsia="宋体" w:cs="宋体"/>
              <w:sz w:val="24"/>
              <w:szCs w:val="24"/>
              <w:lang w:val="en-US" w:eastAsia="zh-CN"/>
            </w:rPr>
            <w:t>五、 产品质量责任</w:t>
          </w:r>
          <w:r>
            <w:rPr>
              <w:sz w:val="24"/>
              <w:szCs w:val="24"/>
            </w:rPr>
            <w:tab/>
          </w:r>
          <w:r>
            <w:rPr>
              <w:sz w:val="24"/>
              <w:szCs w:val="24"/>
            </w:rPr>
            <w:fldChar w:fldCharType="begin"/>
          </w:r>
          <w:r>
            <w:rPr>
              <w:sz w:val="24"/>
              <w:szCs w:val="24"/>
            </w:rPr>
            <w:instrText xml:space="preserve"> PAGEREF _Toc22410 \h </w:instrText>
          </w:r>
          <w:r>
            <w:rPr>
              <w:sz w:val="24"/>
              <w:szCs w:val="24"/>
            </w:rPr>
            <w:fldChar w:fldCharType="separate"/>
          </w:r>
          <w:r>
            <w:rPr>
              <w:sz w:val="24"/>
              <w:szCs w:val="24"/>
            </w:rPr>
            <w:t>13</w:t>
          </w:r>
          <w:r>
            <w:rPr>
              <w:sz w:val="24"/>
              <w:szCs w:val="24"/>
            </w:rPr>
            <w:fldChar w:fldCharType="end"/>
          </w:r>
          <w:r>
            <w:rPr>
              <w:sz w:val="24"/>
              <w:szCs w:val="24"/>
            </w:rPr>
            <w:fldChar w:fldCharType="end"/>
          </w:r>
        </w:p>
        <w:p>
          <w:pPr>
            <w:pStyle w:val="8"/>
            <w:tabs>
              <w:tab w:val="right" w:leader="dot" w:pos="8306"/>
            </w:tabs>
            <w:rPr>
              <w:sz w:val="24"/>
              <w:szCs w:val="24"/>
            </w:rPr>
          </w:pPr>
          <w:r>
            <w:rPr>
              <w:sz w:val="24"/>
              <w:szCs w:val="24"/>
            </w:rPr>
            <w:fldChar w:fldCharType="begin"/>
          </w:r>
          <w:r>
            <w:rPr>
              <w:sz w:val="24"/>
              <w:szCs w:val="24"/>
            </w:rPr>
            <w:instrText xml:space="preserve"> HYPERLINK \l _Toc24867 </w:instrText>
          </w:r>
          <w:r>
            <w:rPr>
              <w:sz w:val="24"/>
              <w:szCs w:val="24"/>
            </w:rPr>
            <w:fldChar w:fldCharType="separate"/>
          </w:r>
          <w:r>
            <w:rPr>
              <w:rFonts w:hint="eastAsia" w:ascii="宋体" w:hAnsi="宋体" w:eastAsia="宋体" w:cs="宋体"/>
              <w:sz w:val="24"/>
              <w:szCs w:val="24"/>
              <w:lang w:val="en-US" w:eastAsia="zh-CN"/>
            </w:rPr>
            <w:t>5.1 产品质量承诺</w:t>
          </w:r>
          <w:r>
            <w:rPr>
              <w:sz w:val="24"/>
              <w:szCs w:val="24"/>
            </w:rPr>
            <w:tab/>
          </w:r>
          <w:r>
            <w:rPr>
              <w:sz w:val="24"/>
              <w:szCs w:val="24"/>
            </w:rPr>
            <w:fldChar w:fldCharType="begin"/>
          </w:r>
          <w:r>
            <w:rPr>
              <w:sz w:val="24"/>
              <w:szCs w:val="24"/>
            </w:rPr>
            <w:instrText xml:space="preserve"> PAGEREF _Toc24867 \h </w:instrText>
          </w:r>
          <w:r>
            <w:rPr>
              <w:sz w:val="24"/>
              <w:szCs w:val="24"/>
            </w:rPr>
            <w:fldChar w:fldCharType="separate"/>
          </w:r>
          <w:r>
            <w:rPr>
              <w:sz w:val="24"/>
              <w:szCs w:val="24"/>
            </w:rPr>
            <w:t>13</w:t>
          </w:r>
          <w:r>
            <w:rPr>
              <w:sz w:val="24"/>
              <w:szCs w:val="24"/>
            </w:rPr>
            <w:fldChar w:fldCharType="end"/>
          </w:r>
          <w:r>
            <w:rPr>
              <w:sz w:val="24"/>
              <w:szCs w:val="24"/>
            </w:rPr>
            <w:fldChar w:fldCharType="end"/>
          </w:r>
        </w:p>
        <w:p>
          <w:pPr>
            <w:pStyle w:val="8"/>
            <w:tabs>
              <w:tab w:val="right" w:leader="dot" w:pos="8306"/>
            </w:tabs>
            <w:rPr>
              <w:sz w:val="24"/>
              <w:szCs w:val="24"/>
            </w:rPr>
          </w:pPr>
          <w:r>
            <w:rPr>
              <w:sz w:val="24"/>
              <w:szCs w:val="24"/>
            </w:rPr>
            <w:fldChar w:fldCharType="begin"/>
          </w:r>
          <w:r>
            <w:rPr>
              <w:sz w:val="24"/>
              <w:szCs w:val="24"/>
            </w:rPr>
            <w:instrText xml:space="preserve"> HYPERLINK \l _Toc30795 </w:instrText>
          </w:r>
          <w:r>
            <w:rPr>
              <w:sz w:val="24"/>
              <w:szCs w:val="24"/>
            </w:rPr>
            <w:fldChar w:fldCharType="separate"/>
          </w:r>
          <w:r>
            <w:rPr>
              <w:rFonts w:hint="eastAsia" w:ascii="宋体" w:hAnsi="宋体" w:eastAsia="宋体" w:cs="宋体"/>
              <w:sz w:val="24"/>
              <w:szCs w:val="24"/>
              <w:lang w:val="en-US" w:eastAsia="zh-CN"/>
            </w:rPr>
            <w:t>5.2 产品退换情况</w:t>
          </w:r>
          <w:r>
            <w:rPr>
              <w:sz w:val="24"/>
              <w:szCs w:val="24"/>
            </w:rPr>
            <w:tab/>
          </w:r>
          <w:r>
            <w:rPr>
              <w:sz w:val="24"/>
              <w:szCs w:val="24"/>
            </w:rPr>
            <w:fldChar w:fldCharType="begin"/>
          </w:r>
          <w:r>
            <w:rPr>
              <w:sz w:val="24"/>
              <w:szCs w:val="24"/>
            </w:rPr>
            <w:instrText xml:space="preserve"> PAGEREF _Toc30795 \h </w:instrText>
          </w:r>
          <w:r>
            <w:rPr>
              <w:sz w:val="24"/>
              <w:szCs w:val="24"/>
            </w:rPr>
            <w:fldChar w:fldCharType="separate"/>
          </w:r>
          <w:r>
            <w:rPr>
              <w:sz w:val="24"/>
              <w:szCs w:val="24"/>
            </w:rPr>
            <w:t>13</w:t>
          </w:r>
          <w:r>
            <w:rPr>
              <w:sz w:val="24"/>
              <w:szCs w:val="24"/>
            </w:rPr>
            <w:fldChar w:fldCharType="end"/>
          </w:r>
          <w:r>
            <w:rPr>
              <w:sz w:val="24"/>
              <w:szCs w:val="24"/>
            </w:rPr>
            <w:fldChar w:fldCharType="end"/>
          </w:r>
        </w:p>
        <w:p>
          <w:pPr>
            <w:pStyle w:val="7"/>
            <w:tabs>
              <w:tab w:val="right" w:leader="dot" w:pos="8306"/>
            </w:tabs>
            <w:rPr>
              <w:sz w:val="24"/>
              <w:szCs w:val="24"/>
            </w:rPr>
          </w:pPr>
          <w:r>
            <w:rPr>
              <w:sz w:val="24"/>
              <w:szCs w:val="24"/>
            </w:rPr>
            <w:fldChar w:fldCharType="begin"/>
          </w:r>
          <w:r>
            <w:rPr>
              <w:sz w:val="24"/>
              <w:szCs w:val="24"/>
            </w:rPr>
            <w:instrText xml:space="preserve"> HYPERLINK \l _Toc29032 </w:instrText>
          </w:r>
          <w:r>
            <w:rPr>
              <w:sz w:val="24"/>
              <w:szCs w:val="24"/>
            </w:rPr>
            <w:fldChar w:fldCharType="separate"/>
          </w:r>
          <w:r>
            <w:rPr>
              <w:rFonts w:hint="eastAsia" w:ascii="宋体" w:hAnsi="宋体" w:eastAsia="宋体" w:cs="宋体"/>
              <w:sz w:val="24"/>
              <w:szCs w:val="24"/>
              <w:lang w:val="en-US" w:eastAsia="zh-CN"/>
            </w:rPr>
            <w:t>六、 质量风险控制</w:t>
          </w:r>
          <w:r>
            <w:rPr>
              <w:sz w:val="24"/>
              <w:szCs w:val="24"/>
            </w:rPr>
            <w:tab/>
          </w:r>
          <w:r>
            <w:rPr>
              <w:sz w:val="24"/>
              <w:szCs w:val="24"/>
            </w:rPr>
            <w:fldChar w:fldCharType="begin"/>
          </w:r>
          <w:r>
            <w:rPr>
              <w:sz w:val="24"/>
              <w:szCs w:val="24"/>
            </w:rPr>
            <w:instrText xml:space="preserve"> PAGEREF _Toc29032 \h </w:instrText>
          </w:r>
          <w:r>
            <w:rPr>
              <w:sz w:val="24"/>
              <w:szCs w:val="24"/>
            </w:rPr>
            <w:fldChar w:fldCharType="separate"/>
          </w:r>
          <w:r>
            <w:rPr>
              <w:sz w:val="24"/>
              <w:szCs w:val="24"/>
            </w:rPr>
            <w:t>13</w:t>
          </w:r>
          <w:r>
            <w:rPr>
              <w:sz w:val="24"/>
              <w:szCs w:val="24"/>
            </w:rPr>
            <w:fldChar w:fldCharType="end"/>
          </w:r>
          <w:r>
            <w:rPr>
              <w:sz w:val="24"/>
              <w:szCs w:val="24"/>
            </w:rPr>
            <w:fldChar w:fldCharType="end"/>
          </w:r>
        </w:p>
        <w:p>
          <w:pPr>
            <w:pStyle w:val="8"/>
            <w:tabs>
              <w:tab w:val="right" w:leader="dot" w:pos="8306"/>
            </w:tabs>
            <w:rPr>
              <w:sz w:val="24"/>
              <w:szCs w:val="24"/>
            </w:rPr>
          </w:pPr>
          <w:r>
            <w:rPr>
              <w:sz w:val="24"/>
              <w:szCs w:val="24"/>
            </w:rPr>
            <w:fldChar w:fldCharType="begin"/>
          </w:r>
          <w:r>
            <w:rPr>
              <w:sz w:val="24"/>
              <w:szCs w:val="24"/>
            </w:rPr>
            <w:instrText xml:space="preserve"> HYPERLINK \l _Toc31492 </w:instrText>
          </w:r>
          <w:r>
            <w:rPr>
              <w:sz w:val="24"/>
              <w:szCs w:val="24"/>
            </w:rPr>
            <w:fldChar w:fldCharType="separate"/>
          </w:r>
          <w:r>
            <w:rPr>
              <w:rFonts w:hint="eastAsia" w:ascii="宋体" w:hAnsi="宋体" w:eastAsia="宋体" w:cs="宋体"/>
              <w:sz w:val="24"/>
              <w:szCs w:val="24"/>
              <w:lang w:val="en-US" w:eastAsia="zh-CN"/>
            </w:rPr>
            <w:t>6.1 质量投诉处理</w:t>
          </w:r>
          <w:r>
            <w:rPr>
              <w:sz w:val="24"/>
              <w:szCs w:val="24"/>
            </w:rPr>
            <w:tab/>
          </w:r>
          <w:r>
            <w:rPr>
              <w:sz w:val="24"/>
              <w:szCs w:val="24"/>
            </w:rPr>
            <w:fldChar w:fldCharType="begin"/>
          </w:r>
          <w:r>
            <w:rPr>
              <w:sz w:val="24"/>
              <w:szCs w:val="24"/>
            </w:rPr>
            <w:instrText xml:space="preserve"> PAGEREF _Toc31492 \h </w:instrText>
          </w:r>
          <w:r>
            <w:rPr>
              <w:sz w:val="24"/>
              <w:szCs w:val="24"/>
            </w:rPr>
            <w:fldChar w:fldCharType="separate"/>
          </w:r>
          <w:r>
            <w:rPr>
              <w:sz w:val="24"/>
              <w:szCs w:val="24"/>
            </w:rPr>
            <w:t>13</w:t>
          </w:r>
          <w:r>
            <w:rPr>
              <w:sz w:val="24"/>
              <w:szCs w:val="24"/>
            </w:rPr>
            <w:fldChar w:fldCharType="end"/>
          </w:r>
          <w:r>
            <w:rPr>
              <w:sz w:val="24"/>
              <w:szCs w:val="24"/>
            </w:rPr>
            <w:fldChar w:fldCharType="end"/>
          </w:r>
        </w:p>
        <w:p>
          <w:pPr>
            <w:pStyle w:val="8"/>
            <w:tabs>
              <w:tab w:val="right" w:leader="dot" w:pos="8306"/>
            </w:tabs>
          </w:pPr>
          <w:r>
            <w:rPr>
              <w:sz w:val="24"/>
              <w:szCs w:val="24"/>
            </w:rPr>
            <w:fldChar w:fldCharType="begin"/>
          </w:r>
          <w:r>
            <w:rPr>
              <w:sz w:val="24"/>
              <w:szCs w:val="24"/>
            </w:rPr>
            <w:instrText xml:space="preserve"> HYPERLINK \l _Toc11591 </w:instrText>
          </w:r>
          <w:r>
            <w:rPr>
              <w:sz w:val="24"/>
              <w:szCs w:val="24"/>
            </w:rPr>
            <w:fldChar w:fldCharType="separate"/>
          </w:r>
          <w:r>
            <w:rPr>
              <w:rFonts w:hint="eastAsia" w:ascii="宋体" w:hAnsi="宋体" w:eastAsia="宋体" w:cs="宋体"/>
              <w:sz w:val="24"/>
              <w:szCs w:val="24"/>
              <w:lang w:val="en-US" w:eastAsia="zh-CN"/>
            </w:rPr>
            <w:t>6.2 质量风险监测</w:t>
          </w:r>
          <w:r>
            <w:rPr>
              <w:sz w:val="24"/>
              <w:szCs w:val="24"/>
            </w:rPr>
            <w:tab/>
          </w:r>
          <w:r>
            <w:rPr>
              <w:sz w:val="24"/>
              <w:szCs w:val="24"/>
            </w:rPr>
            <w:fldChar w:fldCharType="begin"/>
          </w:r>
          <w:r>
            <w:rPr>
              <w:sz w:val="24"/>
              <w:szCs w:val="24"/>
            </w:rPr>
            <w:instrText xml:space="preserve"> PAGEREF _Toc11591 \h </w:instrText>
          </w:r>
          <w:r>
            <w:rPr>
              <w:sz w:val="24"/>
              <w:szCs w:val="24"/>
            </w:rPr>
            <w:fldChar w:fldCharType="separate"/>
          </w:r>
          <w:r>
            <w:rPr>
              <w:sz w:val="24"/>
              <w:szCs w:val="24"/>
            </w:rPr>
            <w:t>14</w:t>
          </w:r>
          <w:r>
            <w:rPr>
              <w:sz w:val="24"/>
              <w:szCs w:val="24"/>
            </w:rPr>
            <w:fldChar w:fldCharType="end"/>
          </w:r>
          <w:r>
            <w:rPr>
              <w:sz w:val="24"/>
              <w:szCs w:val="24"/>
            </w:rPr>
            <w:fldChar w:fldCharType="end"/>
          </w:r>
        </w:p>
        <w:p>
          <w:r>
            <w:fldChar w:fldCharType="end"/>
          </w:r>
        </w:p>
      </w:sdtContent>
    </w:sdt>
    <w:p>
      <w:pPr>
        <w:spacing w:line="360" w:lineRule="auto"/>
        <w:rPr>
          <w:rFonts w:hint="eastAsia" w:ascii="宋体" w:hAnsi="宋体" w:eastAsia="宋体" w:cs="宋体"/>
          <w:sz w:val="28"/>
          <w:szCs w:val="28"/>
          <w:lang w:eastAsia="zh-CN"/>
        </w:rPr>
      </w:pPr>
      <w:r>
        <w:rPr>
          <w:rFonts w:hint="eastAsia" w:ascii="宋体" w:hAnsi="宋体" w:eastAsia="宋体" w:cs="宋体"/>
          <w:sz w:val="28"/>
          <w:szCs w:val="28"/>
          <w:lang w:eastAsia="zh-CN"/>
        </w:rPr>
        <w:br w:type="page"/>
      </w:r>
    </w:p>
    <w:p>
      <w:pPr>
        <w:bidi w:val="0"/>
        <w:spacing w:line="360" w:lineRule="auto"/>
        <w:outlineLvl w:val="0"/>
        <w:rPr>
          <w:rFonts w:hint="eastAsia" w:ascii="宋体" w:hAnsi="宋体" w:eastAsia="宋体" w:cs="宋体"/>
          <w:b/>
          <w:bCs/>
        </w:rPr>
      </w:pPr>
      <w:bookmarkStart w:id="0" w:name="_Toc19695"/>
      <w:r>
        <w:rPr>
          <w:rFonts w:hint="eastAsia" w:ascii="宋体" w:hAnsi="宋体" w:eastAsia="宋体" w:cs="宋体"/>
          <w:b/>
          <w:bCs/>
        </w:rPr>
        <w:t>第一部分</w:t>
      </w:r>
      <w:r>
        <w:rPr>
          <w:rFonts w:hint="eastAsia" w:ascii="宋体" w:hAnsi="宋体" w:eastAsia="宋体" w:cs="宋体"/>
          <w:b/>
          <w:bCs/>
        </w:rPr>
        <w:tab/>
      </w:r>
      <w:r>
        <w:rPr>
          <w:rFonts w:hint="eastAsia" w:ascii="宋体" w:hAnsi="宋体" w:eastAsia="宋体" w:cs="宋体"/>
          <w:b/>
          <w:bCs/>
        </w:rPr>
        <w:t>报告前言</w:t>
      </w:r>
      <w:bookmarkEnd w:id="0"/>
    </w:p>
    <w:p>
      <w:pPr>
        <w:bidi w:val="0"/>
        <w:spacing w:line="360" w:lineRule="auto"/>
        <w:rPr>
          <w:rFonts w:hint="eastAsia" w:ascii="宋体" w:hAnsi="宋体" w:eastAsia="宋体" w:cs="宋体"/>
        </w:rPr>
      </w:pPr>
    </w:p>
    <w:p>
      <w:pPr>
        <w:bidi w:val="0"/>
        <w:spacing w:line="360" w:lineRule="auto"/>
        <w:rPr>
          <w:rFonts w:hint="eastAsia" w:ascii="宋体" w:hAnsi="宋体" w:eastAsia="宋体" w:cs="宋体"/>
        </w:rPr>
      </w:pPr>
    </w:p>
    <w:p>
      <w:pPr>
        <w:bidi w:val="0"/>
        <w:spacing w:line="360" w:lineRule="auto"/>
        <w:rPr>
          <w:rFonts w:hint="eastAsia" w:ascii="宋体" w:hAnsi="宋体" w:eastAsia="宋体" w:cs="宋体"/>
        </w:rPr>
      </w:pPr>
      <w:r>
        <w:rPr>
          <w:rFonts w:hint="eastAsia" w:ascii="宋体" w:hAnsi="宋体" w:eastAsia="宋体" w:cs="宋体"/>
        </w:rPr>
        <w:t>报告内容客观性申明：本报告内容真实可靠，经公司会议专题审议通过。</w:t>
      </w:r>
    </w:p>
    <w:p>
      <w:pPr>
        <w:bidi w:val="0"/>
        <w:spacing w:line="360" w:lineRule="auto"/>
        <w:rPr>
          <w:rFonts w:hint="eastAsia" w:ascii="宋体" w:hAnsi="宋体" w:eastAsia="宋体" w:cs="宋体"/>
        </w:rPr>
      </w:pPr>
      <w:r>
        <w:rPr>
          <w:rFonts w:hint="eastAsia" w:ascii="宋体" w:hAnsi="宋体" w:eastAsia="宋体" w:cs="宋体"/>
        </w:rPr>
        <w:t>报告组织范围：</w:t>
      </w:r>
      <w:r>
        <w:rPr>
          <w:rFonts w:hint="eastAsia" w:ascii="宋体" w:hAnsi="宋体" w:eastAsia="宋体" w:cs="宋体"/>
          <w:lang w:eastAsia="zh-CN"/>
        </w:rPr>
        <w:t>绍兴山海纺织</w:t>
      </w:r>
      <w:r>
        <w:rPr>
          <w:rFonts w:hint="eastAsia" w:ascii="宋体" w:hAnsi="宋体" w:eastAsia="宋体" w:cs="宋体"/>
        </w:rPr>
        <w:t>有限公司。</w:t>
      </w:r>
    </w:p>
    <w:p>
      <w:pPr>
        <w:bidi w:val="0"/>
        <w:spacing w:line="360" w:lineRule="auto"/>
        <w:rPr>
          <w:rFonts w:hint="eastAsia" w:ascii="宋体" w:hAnsi="宋体" w:eastAsia="宋体" w:cs="宋体"/>
        </w:rPr>
      </w:pPr>
      <w:r>
        <w:rPr>
          <w:rFonts w:hint="eastAsia" w:ascii="宋体" w:hAnsi="宋体" w:eastAsia="宋体" w:cs="宋体"/>
        </w:rPr>
        <w:t>报告时间范围：20</w:t>
      </w:r>
      <w:r>
        <w:rPr>
          <w:rFonts w:hint="eastAsia" w:ascii="宋体" w:hAnsi="宋体" w:eastAsia="宋体" w:cs="宋体"/>
          <w:lang w:val="en-US" w:eastAsia="zh-CN"/>
        </w:rPr>
        <w:t>20</w:t>
      </w:r>
      <w:r>
        <w:rPr>
          <w:rFonts w:hint="eastAsia" w:ascii="宋体" w:hAnsi="宋体" w:eastAsia="宋体" w:cs="宋体"/>
        </w:rPr>
        <w:t xml:space="preserve"> 年 1 月 1 日至 20</w:t>
      </w:r>
      <w:r>
        <w:rPr>
          <w:rFonts w:hint="eastAsia" w:ascii="宋体" w:hAnsi="宋体" w:eastAsia="宋体" w:cs="宋体"/>
          <w:lang w:val="en-US" w:eastAsia="zh-CN"/>
        </w:rPr>
        <w:t>20</w:t>
      </w:r>
      <w:r>
        <w:rPr>
          <w:rFonts w:hint="eastAsia" w:ascii="宋体" w:hAnsi="宋体" w:eastAsia="宋体" w:cs="宋体"/>
        </w:rPr>
        <w:t xml:space="preserve"> 年 12 月 31 日，为保持报告连贯性与可读性，部分内容延伸出上述时间范围。</w:t>
      </w:r>
    </w:p>
    <w:p>
      <w:pPr>
        <w:bidi w:val="0"/>
        <w:spacing w:line="360" w:lineRule="auto"/>
        <w:rPr>
          <w:rFonts w:hint="eastAsia" w:ascii="宋体" w:hAnsi="宋体" w:eastAsia="宋体" w:cs="宋体"/>
        </w:rPr>
      </w:pPr>
      <w:r>
        <w:rPr>
          <w:rFonts w:hint="eastAsia" w:ascii="宋体" w:hAnsi="宋体" w:eastAsia="宋体" w:cs="宋体"/>
        </w:rPr>
        <w:t>报告发布次数及周期：本年度报告为第一次发布，202</w:t>
      </w:r>
      <w:r>
        <w:rPr>
          <w:rFonts w:hint="eastAsia" w:ascii="宋体" w:hAnsi="宋体" w:eastAsia="宋体" w:cs="宋体"/>
          <w:lang w:val="en-US" w:eastAsia="zh-CN"/>
        </w:rPr>
        <w:t>1</w:t>
      </w:r>
      <w:r>
        <w:rPr>
          <w:rFonts w:hint="eastAsia" w:ascii="宋体" w:hAnsi="宋体" w:eastAsia="宋体" w:cs="宋体"/>
        </w:rPr>
        <w:t xml:space="preserve"> 年起每年度一次。</w:t>
      </w:r>
    </w:p>
    <w:p>
      <w:pPr>
        <w:bidi w:val="0"/>
        <w:spacing w:line="360" w:lineRule="auto"/>
        <w:rPr>
          <w:rFonts w:hint="eastAsia" w:ascii="宋体" w:hAnsi="宋体" w:eastAsia="宋体" w:cs="宋体"/>
        </w:rPr>
      </w:pPr>
      <w:r>
        <w:rPr>
          <w:rFonts w:hint="eastAsia" w:ascii="宋体" w:hAnsi="宋体" w:eastAsia="宋体" w:cs="宋体"/>
        </w:rPr>
        <w:t>报告数据说明：本报告披露的财务数据来自公司各类财务报表，其他数据来自公司内部统计，特别说明除外。</w:t>
      </w:r>
    </w:p>
    <w:p>
      <w:pPr>
        <w:bidi w:val="0"/>
        <w:spacing w:line="360" w:lineRule="auto"/>
        <w:rPr>
          <w:rFonts w:hint="eastAsia" w:ascii="宋体" w:hAnsi="宋体" w:eastAsia="宋体" w:cs="宋体"/>
        </w:rPr>
      </w:pPr>
      <w:r>
        <w:rPr>
          <w:rFonts w:hint="eastAsia" w:ascii="宋体" w:hAnsi="宋体" w:eastAsia="宋体" w:cs="宋体"/>
        </w:rPr>
        <w:t>解答报告及其内容方面问题的联络人及联络方式：</w:t>
      </w:r>
    </w:p>
    <w:p>
      <w:pPr>
        <w:spacing w:line="360" w:lineRule="auto"/>
        <w:jc w:val="both"/>
        <w:rPr>
          <w:rFonts w:hint="eastAsia" w:ascii="宋体" w:hAnsi="宋体" w:eastAsia="宋体" w:cs="宋体"/>
          <w:lang w:val="en-US" w:eastAsia="zh-CN"/>
        </w:rPr>
      </w:pPr>
      <w:r>
        <w:rPr>
          <w:rFonts w:hint="eastAsia" w:ascii="宋体" w:hAnsi="宋体" w:eastAsia="宋体" w:cs="宋体"/>
        </w:rPr>
        <w:t>联络人为</w:t>
      </w:r>
      <w:r>
        <w:rPr>
          <w:rFonts w:hint="eastAsia" w:ascii="宋体" w:hAnsi="宋体" w:eastAsia="宋体" w:cs="宋体"/>
          <w:lang w:eastAsia="zh-CN"/>
        </w:rPr>
        <w:t>张红</w:t>
      </w:r>
      <w:r>
        <w:rPr>
          <w:rFonts w:hint="eastAsia" w:ascii="宋体" w:hAnsi="宋体" w:eastAsia="宋体" w:cs="宋体"/>
        </w:rPr>
        <w:t xml:space="preserve">，联络电话为 </w:t>
      </w:r>
      <w:r>
        <w:rPr>
          <w:rFonts w:hint="eastAsia" w:ascii="宋体" w:hAnsi="宋体" w:eastAsia="宋体" w:cs="宋体"/>
          <w:lang w:val="en-US" w:eastAsia="zh-CN"/>
        </w:rPr>
        <w:t>13957549406。</w:t>
      </w:r>
    </w:p>
    <w:p>
      <w:pPr>
        <w:spacing w:line="360" w:lineRule="auto"/>
        <w:rPr>
          <w:rFonts w:hint="eastAsia" w:ascii="宋体" w:hAnsi="宋体" w:eastAsia="宋体" w:cs="宋体"/>
          <w:lang w:val="en-US" w:eastAsia="zh-CN"/>
        </w:rPr>
      </w:pPr>
      <w:r>
        <w:rPr>
          <w:rFonts w:hint="eastAsia" w:ascii="宋体" w:hAnsi="宋体" w:eastAsia="宋体" w:cs="宋体"/>
          <w:lang w:val="en-US" w:eastAsia="zh-CN"/>
        </w:rPr>
        <w:br w:type="page"/>
      </w:r>
    </w:p>
    <w:p>
      <w:pPr>
        <w:bidi w:val="0"/>
        <w:spacing w:line="360" w:lineRule="auto"/>
        <w:jc w:val="center"/>
        <w:rPr>
          <w:rFonts w:hint="eastAsia" w:ascii="宋体" w:hAnsi="宋体" w:eastAsia="宋体" w:cs="宋体"/>
          <w:b/>
          <w:bCs/>
          <w:sz w:val="30"/>
          <w:szCs w:val="30"/>
        </w:rPr>
      </w:pPr>
      <w:r>
        <w:rPr>
          <w:rFonts w:hint="eastAsia" w:ascii="宋体" w:hAnsi="宋体" w:eastAsia="宋体" w:cs="宋体"/>
          <w:b/>
          <w:bCs/>
          <w:sz w:val="30"/>
          <w:szCs w:val="30"/>
        </w:rPr>
        <w:t>企业简介</w:t>
      </w:r>
    </w:p>
    <w:p>
      <w:pPr>
        <w:bidi w:val="0"/>
        <w:spacing w:line="360" w:lineRule="auto"/>
        <w:rPr>
          <w:rFonts w:hint="eastAsia" w:ascii="宋体" w:hAnsi="宋体" w:eastAsia="宋体" w:cs="宋体"/>
        </w:rPr>
      </w:pPr>
    </w:p>
    <w:p>
      <w:pPr>
        <w:bidi w:val="0"/>
        <w:spacing w:line="360" w:lineRule="auto"/>
        <w:ind w:firstLine="440" w:firstLineChars="200"/>
        <w:rPr>
          <w:rFonts w:hint="eastAsia" w:ascii="宋体" w:hAnsi="宋体" w:eastAsia="宋体" w:cs="宋体"/>
        </w:rPr>
      </w:pPr>
      <w:r>
        <w:rPr>
          <w:rFonts w:hint="eastAsia" w:ascii="宋体" w:hAnsi="宋体" w:eastAsia="宋体" w:cs="宋体"/>
          <w:lang w:eastAsia="zh-CN"/>
        </w:rPr>
        <w:t>绍兴山海纺织有限公司成立于</w:t>
      </w:r>
      <w:r>
        <w:rPr>
          <w:rFonts w:hint="eastAsia" w:ascii="宋体" w:hAnsi="宋体" w:eastAsia="宋体" w:cs="宋体"/>
          <w:lang w:val="en-US" w:eastAsia="zh-CN"/>
        </w:rPr>
        <w:t>2008年</w:t>
      </w:r>
      <w:r>
        <w:rPr>
          <w:rFonts w:hint="eastAsia" w:ascii="宋体" w:hAnsi="宋体" w:eastAsia="宋体" w:cs="宋体"/>
        </w:rPr>
        <w:t>，注册资本8000万元，公司坐落于中国最大的轻纺基地----中国轻纺城，绍兴柯桥区滨海工业区，毗邻杭州国际机场、沪杭甬高速公路，交通便捷，地理位置优越。是一家集差别化纤维、针织布生产、销售为一体的纺织企业，公司占地60亩，建筑面积70000平方米，现有主体设备450余台套， 纺丝设备 ---德国巴马格 ,日本村田 POY---FDY  ---DTY, 现有员工500余名。年产纤维20,000吨，针织布20,000吨。</w:t>
      </w:r>
    </w:p>
    <w:p>
      <w:pPr>
        <w:bidi w:val="0"/>
        <w:spacing w:line="360" w:lineRule="auto"/>
        <w:rPr>
          <w:rFonts w:hint="eastAsia" w:ascii="宋体" w:hAnsi="宋体" w:eastAsia="宋体" w:cs="宋体"/>
        </w:rPr>
      </w:pPr>
    </w:p>
    <w:p>
      <w:pPr>
        <w:bidi w:val="0"/>
        <w:spacing w:line="360" w:lineRule="auto"/>
        <w:rPr>
          <w:rFonts w:hint="eastAsia" w:ascii="宋体" w:hAnsi="宋体" w:eastAsia="宋体" w:cs="宋体"/>
        </w:rPr>
      </w:pPr>
      <w:r>
        <w:rPr>
          <w:rFonts w:hint="eastAsia" w:ascii="宋体" w:hAnsi="宋体" w:eastAsia="宋体" w:cs="宋体"/>
        </w:rPr>
        <w:t>企业名称：</w:t>
      </w:r>
      <w:r>
        <w:rPr>
          <w:rFonts w:hint="eastAsia" w:ascii="宋体" w:hAnsi="宋体" w:eastAsia="宋体" w:cs="宋体"/>
          <w:lang w:eastAsia="zh-CN"/>
        </w:rPr>
        <w:t>绍兴山海纺织</w:t>
      </w:r>
      <w:r>
        <w:rPr>
          <w:rFonts w:hint="eastAsia" w:ascii="宋体" w:hAnsi="宋体" w:eastAsia="宋体" w:cs="宋体"/>
        </w:rPr>
        <w:t>有限公司。</w:t>
      </w:r>
    </w:p>
    <w:p>
      <w:pPr>
        <w:bidi w:val="0"/>
        <w:spacing w:line="360" w:lineRule="auto"/>
        <w:rPr>
          <w:rFonts w:hint="eastAsia" w:ascii="宋体" w:hAnsi="宋体" w:eastAsia="宋体" w:cs="宋体"/>
        </w:rPr>
      </w:pPr>
    </w:p>
    <w:p>
      <w:pPr>
        <w:bidi w:val="0"/>
        <w:spacing w:line="360" w:lineRule="auto"/>
        <w:rPr>
          <w:rFonts w:hint="eastAsia" w:ascii="宋体" w:hAnsi="宋体" w:eastAsia="宋体" w:cs="宋体"/>
          <w:lang w:val="en-US" w:eastAsia="zh-CN"/>
        </w:rPr>
      </w:pPr>
      <w:r>
        <w:rPr>
          <w:rFonts w:hint="eastAsia" w:ascii="宋体" w:hAnsi="宋体" w:eastAsia="宋体" w:cs="宋体"/>
        </w:rPr>
        <w:t>地</w:t>
      </w:r>
      <w:r>
        <w:rPr>
          <w:rFonts w:hint="eastAsia" w:ascii="宋体" w:hAnsi="宋体" w:eastAsia="宋体" w:cs="宋体"/>
        </w:rPr>
        <w:tab/>
      </w:r>
      <w:r>
        <w:rPr>
          <w:rFonts w:hint="eastAsia" w:ascii="宋体" w:hAnsi="宋体" w:eastAsia="宋体" w:cs="宋体"/>
        </w:rPr>
        <w:t>址：绍兴市柯桥区滨海工业区九一丘</w:t>
      </w:r>
      <w:r>
        <w:rPr>
          <w:rFonts w:hint="eastAsia" w:ascii="宋体" w:hAnsi="宋体" w:eastAsia="宋体" w:cs="宋体"/>
          <w:lang w:val="en-US" w:eastAsia="zh-CN"/>
        </w:rPr>
        <w:t xml:space="preserve"> </w:t>
      </w:r>
    </w:p>
    <w:p>
      <w:pPr>
        <w:bidi w:val="0"/>
        <w:spacing w:line="360" w:lineRule="auto"/>
        <w:rPr>
          <w:rFonts w:hint="eastAsia" w:ascii="宋体" w:hAnsi="宋体" w:eastAsia="宋体" w:cs="宋体"/>
          <w:lang w:eastAsia="zh-CN"/>
        </w:rPr>
      </w:pPr>
      <w:r>
        <w:rPr>
          <w:rFonts w:hint="eastAsia" w:ascii="宋体" w:hAnsi="宋体" w:eastAsia="宋体" w:cs="宋体"/>
        </w:rPr>
        <w:t>联系人：</w:t>
      </w:r>
      <w:r>
        <w:rPr>
          <w:rFonts w:hint="eastAsia" w:ascii="宋体" w:hAnsi="宋体" w:eastAsia="宋体" w:cs="宋体"/>
          <w:lang w:eastAsia="zh-CN"/>
        </w:rPr>
        <w:t>张红</w:t>
      </w:r>
    </w:p>
    <w:p>
      <w:pPr>
        <w:spacing w:line="360" w:lineRule="auto"/>
        <w:rPr>
          <w:rFonts w:hint="eastAsia" w:ascii="宋体" w:hAnsi="宋体" w:eastAsia="宋体" w:cs="宋体"/>
          <w:lang w:val="en-US" w:eastAsia="zh-CN"/>
        </w:rPr>
      </w:pPr>
      <w:r>
        <w:rPr>
          <w:rFonts w:hint="eastAsia" w:ascii="宋体" w:hAnsi="宋体" w:eastAsia="宋体" w:cs="宋体"/>
          <w:lang w:val="en-US" w:eastAsia="zh-CN"/>
        </w:rPr>
        <w:br w:type="page"/>
      </w:r>
    </w:p>
    <w:p>
      <w:pPr>
        <w:numPr>
          <w:ilvl w:val="0"/>
          <w:numId w:val="1"/>
        </w:numPr>
        <w:bidi w:val="0"/>
        <w:spacing w:line="360" w:lineRule="auto"/>
        <w:outlineLvl w:val="0"/>
        <w:rPr>
          <w:rFonts w:hint="eastAsia" w:ascii="宋体" w:hAnsi="宋体" w:eastAsia="宋体" w:cs="宋体"/>
          <w:b/>
          <w:bCs/>
          <w:sz w:val="30"/>
          <w:szCs w:val="30"/>
        </w:rPr>
      </w:pPr>
      <w:bookmarkStart w:id="1" w:name="_Toc10290"/>
      <w:bookmarkStart w:id="2" w:name="_Toc25134"/>
      <w:r>
        <w:rPr>
          <w:rFonts w:hint="eastAsia" w:ascii="宋体" w:hAnsi="宋体" w:eastAsia="宋体" w:cs="宋体"/>
          <w:b/>
          <w:bCs/>
          <w:sz w:val="30"/>
          <w:szCs w:val="30"/>
        </w:rPr>
        <w:t>报告正文</w:t>
      </w:r>
      <w:bookmarkEnd w:id="1"/>
      <w:bookmarkEnd w:id="2"/>
    </w:p>
    <w:p>
      <w:pPr>
        <w:numPr>
          <w:ilvl w:val="0"/>
          <w:numId w:val="0"/>
        </w:numPr>
        <w:bidi w:val="0"/>
        <w:spacing w:line="360" w:lineRule="auto"/>
        <w:ind w:right="0" w:rightChars="0"/>
        <w:outlineLvl w:val="9"/>
        <w:rPr>
          <w:rFonts w:hint="eastAsia" w:ascii="宋体" w:hAnsi="宋体" w:eastAsia="宋体" w:cs="宋体"/>
          <w:b/>
          <w:bCs/>
          <w:sz w:val="30"/>
          <w:szCs w:val="30"/>
        </w:rPr>
      </w:pPr>
    </w:p>
    <w:p>
      <w:pPr>
        <w:bidi w:val="0"/>
        <w:spacing w:line="360" w:lineRule="auto"/>
        <w:outlineLvl w:val="1"/>
        <w:rPr>
          <w:rFonts w:hint="eastAsia" w:ascii="宋体" w:hAnsi="宋体" w:eastAsia="宋体" w:cs="宋体"/>
        </w:rPr>
      </w:pPr>
      <w:bookmarkStart w:id="3" w:name="_Toc30198"/>
      <w:bookmarkStart w:id="4" w:name="_Toc6242"/>
      <w:r>
        <w:rPr>
          <w:rFonts w:hint="eastAsia" w:ascii="宋体" w:hAnsi="宋体" w:eastAsia="宋体" w:cs="宋体"/>
        </w:rPr>
        <w:t>一、公司质量理念</w:t>
      </w:r>
      <w:bookmarkEnd w:id="3"/>
      <w:bookmarkEnd w:id="4"/>
    </w:p>
    <w:p>
      <w:pPr>
        <w:bidi w:val="0"/>
        <w:spacing w:line="360" w:lineRule="auto"/>
        <w:ind w:firstLine="440" w:firstLineChars="200"/>
        <w:rPr>
          <w:rFonts w:hint="eastAsia" w:ascii="宋体" w:hAnsi="宋体" w:eastAsia="宋体" w:cs="宋体"/>
        </w:rPr>
      </w:pPr>
      <w:r>
        <w:rPr>
          <w:rFonts w:hint="eastAsia" w:ascii="宋体" w:hAnsi="宋体" w:eastAsia="宋体" w:cs="宋体"/>
        </w:rPr>
        <w:t>公司坚持“品质稳定、信誉至上；持续精进、顾客满意”的质量方针，采用科技化、系统化的管理模式，通过十几年的艰辛创业，不断进取，现有完善的生产设备和检测手段，产品设计开发力量也有极大的提高。公司建立了严格的质量管理体系，2019 年通过 ISO9000 质量管理体系认证。公司生产“</w:t>
      </w:r>
      <w:r>
        <w:rPr>
          <w:rFonts w:hint="eastAsia" w:ascii="宋体" w:hAnsi="宋体" w:eastAsia="宋体" w:cs="宋体"/>
          <w:lang w:eastAsia="zh-CN"/>
        </w:rPr>
        <w:t>山海</w:t>
      </w:r>
      <w:r>
        <w:rPr>
          <w:rFonts w:hint="eastAsia" w:ascii="宋体" w:hAnsi="宋体" w:eastAsia="宋体" w:cs="宋体"/>
        </w:rPr>
        <w:t>”牌</w:t>
      </w:r>
      <w:r>
        <w:rPr>
          <w:rFonts w:hint="eastAsia" w:ascii="宋体" w:hAnsi="宋体" w:eastAsia="宋体" w:cs="宋体"/>
          <w:lang w:eastAsia="zh-CN"/>
        </w:rPr>
        <w:t>针织面料、化纤</w:t>
      </w:r>
      <w:r>
        <w:rPr>
          <w:rFonts w:hint="eastAsia" w:ascii="宋体" w:hAnsi="宋体" w:eastAsia="宋体" w:cs="宋体"/>
        </w:rPr>
        <w:t>，我们将以一丝不苟的精神和忘我的热忱为用户服务，为社会服务。</w:t>
      </w:r>
    </w:p>
    <w:p>
      <w:pPr>
        <w:bidi w:val="0"/>
        <w:spacing w:line="360" w:lineRule="auto"/>
        <w:ind w:firstLine="440" w:firstLineChars="200"/>
        <w:rPr>
          <w:rFonts w:hint="eastAsia" w:ascii="宋体" w:hAnsi="宋体" w:eastAsia="宋体" w:cs="宋体"/>
        </w:rPr>
      </w:pPr>
      <w:r>
        <w:rPr>
          <w:rFonts w:hint="eastAsia" w:ascii="宋体" w:hAnsi="宋体" w:eastAsia="宋体" w:cs="宋体"/>
        </w:rPr>
        <w:t>公司在</w:t>
      </w:r>
      <w:r>
        <w:rPr>
          <w:rFonts w:hint="eastAsia" w:ascii="宋体" w:hAnsi="宋体" w:eastAsia="宋体" w:cs="宋体"/>
          <w:lang w:eastAsia="zh-CN"/>
        </w:rPr>
        <w:t>纺织</w:t>
      </w:r>
      <w:r>
        <w:rPr>
          <w:rFonts w:hint="eastAsia" w:ascii="宋体" w:hAnsi="宋体" w:eastAsia="宋体" w:cs="宋体"/>
        </w:rPr>
        <w:t>产品的设计和生产方面有</w:t>
      </w:r>
      <w:r>
        <w:rPr>
          <w:rFonts w:hint="eastAsia" w:ascii="宋体" w:hAnsi="宋体" w:eastAsia="宋体" w:cs="宋体"/>
          <w:lang w:eastAsia="zh-CN"/>
        </w:rPr>
        <w:t>十</w:t>
      </w:r>
      <w:r>
        <w:rPr>
          <w:rFonts w:hint="eastAsia" w:ascii="宋体" w:hAnsi="宋体" w:eastAsia="宋体" w:cs="宋体"/>
        </w:rPr>
        <w:t>多年的经验，拥有专业的工程团队，包括设计师、专家和工程师。同时，我们成功地申请了多项专利。</w:t>
      </w:r>
    </w:p>
    <w:p>
      <w:pPr>
        <w:bidi w:val="0"/>
        <w:spacing w:line="360" w:lineRule="auto"/>
        <w:rPr>
          <w:rFonts w:hint="eastAsia" w:ascii="宋体" w:hAnsi="宋体" w:eastAsia="宋体" w:cs="宋体"/>
        </w:rPr>
      </w:pPr>
    </w:p>
    <w:p>
      <w:pPr>
        <w:bidi w:val="0"/>
        <w:spacing w:line="360" w:lineRule="auto"/>
        <w:outlineLvl w:val="1"/>
        <w:rPr>
          <w:rFonts w:hint="eastAsia" w:ascii="宋体" w:hAnsi="宋体" w:eastAsia="宋体" w:cs="宋体"/>
        </w:rPr>
      </w:pPr>
      <w:bookmarkStart w:id="5" w:name="_Toc28760"/>
      <w:bookmarkStart w:id="6" w:name="_Toc342"/>
      <w:r>
        <w:rPr>
          <w:rFonts w:hint="eastAsia" w:ascii="宋体" w:hAnsi="宋体" w:eastAsia="宋体" w:cs="宋体"/>
        </w:rPr>
        <w:t>二、内部质量管理</w:t>
      </w:r>
      <w:bookmarkEnd w:id="5"/>
      <w:bookmarkEnd w:id="6"/>
    </w:p>
    <w:p>
      <w:pPr>
        <w:bidi w:val="0"/>
        <w:spacing w:line="360" w:lineRule="auto"/>
        <w:outlineLvl w:val="2"/>
        <w:rPr>
          <w:rFonts w:hint="eastAsia" w:ascii="宋体" w:hAnsi="宋体" w:eastAsia="宋体" w:cs="宋体"/>
        </w:rPr>
      </w:pPr>
      <w:bookmarkStart w:id="7" w:name="_Toc9109"/>
      <w:r>
        <w:rPr>
          <w:rFonts w:hint="eastAsia" w:ascii="宋体" w:hAnsi="宋体" w:eastAsia="宋体" w:cs="宋体"/>
          <w:lang w:val="en-US" w:eastAsia="zh-CN"/>
        </w:rPr>
        <w:t>2.1</w:t>
      </w:r>
      <w:r>
        <w:rPr>
          <w:rFonts w:hint="eastAsia" w:ascii="宋体" w:hAnsi="宋体" w:eastAsia="宋体" w:cs="宋体"/>
        </w:rPr>
        <w:t>质量管理机构</w:t>
      </w:r>
      <w:bookmarkEnd w:id="7"/>
    </w:p>
    <w:p>
      <w:pPr>
        <w:bidi w:val="0"/>
        <w:spacing w:line="360" w:lineRule="auto"/>
        <w:ind w:firstLine="440" w:firstLineChars="200"/>
        <w:rPr>
          <w:rFonts w:hint="eastAsia" w:ascii="宋体" w:hAnsi="宋体" w:eastAsia="宋体" w:cs="宋体"/>
        </w:rPr>
      </w:pPr>
      <w:r>
        <w:rPr>
          <w:rFonts w:hint="eastAsia" w:ascii="宋体" w:hAnsi="宋体" w:eastAsia="宋体" w:cs="宋体"/>
        </w:rPr>
        <w:t>公司具有健全的质量管理体系，明确了质量职责和权限及相关的激励措施等，确保了质量战略的实施。总裁应确保公司内相关部门的职责、权限得到分配、并得到沟通和理解。</w:t>
      </w:r>
    </w:p>
    <w:p>
      <w:pPr>
        <w:spacing w:line="360" w:lineRule="auto"/>
        <w:jc w:val="both"/>
        <w:rPr>
          <w:rFonts w:hint="eastAsia" w:ascii="宋体" w:hAnsi="宋体" w:eastAsia="宋体" w:cs="宋体"/>
          <w:lang w:eastAsia="zh-CN"/>
        </w:rPr>
      </w:pPr>
      <w:r>
        <w:rPr>
          <w:rFonts w:hint="eastAsia" w:ascii="宋体" w:hAnsi="宋体" w:eastAsia="宋体" w:cs="宋体"/>
          <w:lang w:val="en-US" w:eastAsia="zh-CN"/>
        </w:rPr>
        <w:t>2.1.1</w:t>
      </w:r>
      <w:r>
        <w:rPr>
          <w:rFonts w:hint="eastAsia" w:ascii="宋体" w:hAnsi="宋体" w:eastAsia="宋体" w:cs="宋体"/>
        </w:rPr>
        <w:t>质量管理机构图（见下图</w:t>
      </w:r>
      <w:r>
        <w:rPr>
          <w:rFonts w:hint="eastAsia" w:ascii="宋体" w:hAnsi="宋体" w:eastAsia="宋体" w:cs="宋体"/>
          <w:lang w:eastAsia="zh-CN"/>
        </w:rPr>
        <w:t>）</w:t>
      </w:r>
    </w:p>
    <w:p>
      <w:pPr>
        <w:spacing w:line="360" w:lineRule="auto"/>
        <w:jc w:val="both"/>
        <w:rPr>
          <w:rFonts w:hint="eastAsia" w:ascii="宋体" w:hAnsi="宋体" w:eastAsia="宋体" w:cs="宋体"/>
          <w:lang w:eastAsia="zh-CN"/>
        </w:rPr>
      </w:pPr>
      <w:r>
        <w:drawing>
          <wp:inline distT="0" distB="0" distL="114300" distR="114300">
            <wp:extent cx="5271770" cy="3552190"/>
            <wp:effectExtent l="0" t="0" r="5080" b="1016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8"/>
                    <a:stretch>
                      <a:fillRect/>
                    </a:stretch>
                  </pic:blipFill>
                  <pic:spPr>
                    <a:xfrm>
                      <a:off x="0" y="0"/>
                      <a:ext cx="5271770" cy="3552190"/>
                    </a:xfrm>
                    <a:prstGeom prst="rect">
                      <a:avLst/>
                    </a:prstGeom>
                    <a:noFill/>
                    <a:ln>
                      <a:noFill/>
                    </a:ln>
                  </pic:spPr>
                </pic:pic>
              </a:graphicData>
            </a:graphic>
          </wp:inline>
        </w:drawing>
      </w:r>
    </w:p>
    <w:p>
      <w:pPr>
        <w:bidi w:val="0"/>
        <w:spacing w:line="360" w:lineRule="auto"/>
        <w:rPr>
          <w:rFonts w:hint="eastAsia" w:ascii="宋体" w:hAnsi="宋体" w:eastAsia="宋体" w:cs="宋体"/>
        </w:rPr>
      </w:pPr>
      <w:r>
        <w:rPr>
          <w:rFonts w:hint="eastAsia" w:ascii="宋体" w:hAnsi="宋体" w:eastAsia="宋体" w:cs="宋体"/>
          <w:lang w:val="en-US" w:eastAsia="zh-CN"/>
        </w:rPr>
        <w:t>2.1.2</w:t>
      </w:r>
      <w:r>
        <w:rPr>
          <w:rFonts w:hint="eastAsia" w:ascii="宋体" w:hAnsi="宋体" w:eastAsia="宋体" w:cs="宋体"/>
        </w:rPr>
        <w:t>相关激励措施</w:t>
      </w:r>
    </w:p>
    <w:p>
      <w:pPr>
        <w:bidi w:val="0"/>
        <w:spacing w:line="360" w:lineRule="auto"/>
        <w:ind w:firstLine="440" w:firstLineChars="200"/>
        <w:rPr>
          <w:rFonts w:hint="eastAsia" w:ascii="宋体" w:hAnsi="宋体" w:eastAsia="宋体" w:cs="宋体"/>
        </w:rPr>
      </w:pPr>
      <w:r>
        <w:rPr>
          <w:rFonts w:hint="eastAsia" w:ascii="宋体" w:hAnsi="宋体" w:eastAsia="宋体" w:cs="宋体"/>
        </w:rPr>
        <w:t>公司为了挖掘潜在的生产能力，提升管理水平，充分调动管理人员与员工的积极性，为树立管理人员与员工正确的工作观念，激发员工工作热情，采取了丰富多样的员工考核激励措施。</w:t>
      </w:r>
    </w:p>
    <w:tbl>
      <w:tblPr>
        <w:tblStyle w:val="4"/>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407"/>
        <w:gridCol w:w="2853"/>
        <w:gridCol w:w="411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trPr>
        <w:tc>
          <w:tcPr>
            <w:tcW w:w="1407" w:type="dxa"/>
          </w:tcPr>
          <w:p>
            <w:pPr>
              <w:bidi w:val="0"/>
              <w:spacing w:line="360" w:lineRule="auto"/>
              <w:rPr>
                <w:rFonts w:hint="eastAsia" w:ascii="宋体" w:hAnsi="宋体" w:eastAsia="宋体" w:cs="宋体"/>
              </w:rPr>
            </w:pPr>
            <w:r>
              <w:rPr>
                <w:rFonts w:hint="eastAsia" w:ascii="宋体" w:hAnsi="宋体" w:eastAsia="宋体" w:cs="宋体"/>
              </w:rPr>
              <w:t>激励类别</w:t>
            </w:r>
          </w:p>
        </w:tc>
        <w:tc>
          <w:tcPr>
            <w:tcW w:w="2853" w:type="dxa"/>
          </w:tcPr>
          <w:p>
            <w:pPr>
              <w:bidi w:val="0"/>
              <w:spacing w:line="360" w:lineRule="auto"/>
              <w:rPr>
                <w:rFonts w:hint="eastAsia" w:ascii="宋体" w:hAnsi="宋体" w:eastAsia="宋体" w:cs="宋体"/>
              </w:rPr>
            </w:pPr>
            <w:r>
              <w:rPr>
                <w:rFonts w:hint="eastAsia" w:ascii="宋体" w:hAnsi="宋体" w:eastAsia="宋体" w:cs="宋体"/>
              </w:rPr>
              <w:t>激励项目</w:t>
            </w:r>
          </w:p>
        </w:tc>
        <w:tc>
          <w:tcPr>
            <w:tcW w:w="4116" w:type="dxa"/>
          </w:tcPr>
          <w:p>
            <w:pPr>
              <w:bidi w:val="0"/>
              <w:spacing w:line="360" w:lineRule="auto"/>
              <w:rPr>
                <w:rFonts w:hint="eastAsia" w:ascii="宋体" w:hAnsi="宋体" w:eastAsia="宋体" w:cs="宋体"/>
              </w:rPr>
            </w:pPr>
            <w:r>
              <w:rPr>
                <w:rFonts w:hint="eastAsia" w:ascii="宋体" w:hAnsi="宋体" w:eastAsia="宋体" w:cs="宋体"/>
              </w:rPr>
              <w:t>说明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407" w:type="dxa"/>
            <w:vMerge w:val="restart"/>
          </w:tcPr>
          <w:p>
            <w:pPr>
              <w:bidi w:val="0"/>
              <w:spacing w:line="360" w:lineRule="auto"/>
              <w:rPr>
                <w:rFonts w:hint="eastAsia" w:ascii="宋体" w:hAnsi="宋体" w:eastAsia="宋体" w:cs="宋体"/>
              </w:rPr>
            </w:pPr>
            <w:r>
              <w:rPr>
                <w:rFonts w:hint="eastAsia" w:ascii="宋体" w:hAnsi="宋体" w:eastAsia="宋体" w:cs="宋体"/>
              </w:rPr>
              <w:t>物资激励</w:t>
            </w:r>
          </w:p>
        </w:tc>
        <w:tc>
          <w:tcPr>
            <w:tcW w:w="2853" w:type="dxa"/>
          </w:tcPr>
          <w:p>
            <w:pPr>
              <w:bidi w:val="0"/>
              <w:spacing w:line="360" w:lineRule="auto"/>
              <w:rPr>
                <w:rFonts w:hint="eastAsia" w:ascii="宋体" w:hAnsi="宋体" w:eastAsia="宋体" w:cs="宋体"/>
              </w:rPr>
            </w:pPr>
            <w:r>
              <w:rPr>
                <w:rFonts w:hint="eastAsia" w:ascii="宋体" w:hAnsi="宋体" w:eastAsia="宋体" w:cs="宋体"/>
              </w:rPr>
              <w:t>探亲差旅费补贴</w:t>
            </w:r>
          </w:p>
        </w:tc>
        <w:tc>
          <w:tcPr>
            <w:tcW w:w="4116" w:type="dxa"/>
          </w:tcPr>
          <w:p>
            <w:pPr>
              <w:bidi w:val="0"/>
              <w:spacing w:line="360" w:lineRule="auto"/>
              <w:rPr>
                <w:rFonts w:hint="eastAsia" w:ascii="宋体" w:hAnsi="宋体" w:eastAsia="宋体" w:cs="宋体"/>
              </w:rPr>
            </w:pPr>
            <w:r>
              <w:rPr>
                <w:rFonts w:hint="eastAsia" w:ascii="宋体" w:hAnsi="宋体" w:eastAsia="宋体" w:cs="宋体"/>
              </w:rPr>
              <w:t>按员工归属性质，总部外派人员给予一定费用的报销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trPr>
        <w:tc>
          <w:tcPr>
            <w:tcW w:w="1407" w:type="dxa"/>
            <w:vMerge w:val="continue"/>
            <w:tcBorders>
              <w:top w:val="nil"/>
            </w:tcBorders>
          </w:tcPr>
          <w:p>
            <w:pPr>
              <w:bidi w:val="0"/>
              <w:spacing w:line="360" w:lineRule="auto"/>
              <w:rPr>
                <w:rFonts w:hint="eastAsia" w:ascii="宋体" w:hAnsi="宋体" w:eastAsia="宋体" w:cs="宋体"/>
              </w:rPr>
            </w:pPr>
          </w:p>
        </w:tc>
        <w:tc>
          <w:tcPr>
            <w:tcW w:w="2853" w:type="dxa"/>
          </w:tcPr>
          <w:p>
            <w:pPr>
              <w:bidi w:val="0"/>
              <w:spacing w:line="360" w:lineRule="auto"/>
              <w:rPr>
                <w:rFonts w:hint="eastAsia" w:ascii="宋体" w:hAnsi="宋体" w:eastAsia="宋体" w:cs="宋体"/>
              </w:rPr>
            </w:pPr>
            <w:r>
              <w:rPr>
                <w:rFonts w:hint="eastAsia" w:ascii="宋体" w:hAnsi="宋体" w:eastAsia="宋体" w:cs="宋体"/>
              </w:rPr>
              <w:t>绩效奖金</w:t>
            </w:r>
          </w:p>
        </w:tc>
        <w:tc>
          <w:tcPr>
            <w:tcW w:w="4116" w:type="dxa"/>
          </w:tcPr>
          <w:p>
            <w:pPr>
              <w:bidi w:val="0"/>
              <w:spacing w:line="360" w:lineRule="auto"/>
              <w:rPr>
                <w:rFonts w:hint="eastAsia" w:ascii="宋体" w:hAnsi="宋体" w:eastAsia="宋体" w:cs="宋体"/>
              </w:rPr>
            </w:pPr>
            <w:r>
              <w:rPr>
                <w:rFonts w:hint="eastAsia" w:ascii="宋体" w:hAnsi="宋体" w:eastAsia="宋体" w:cs="宋体"/>
              </w:rPr>
              <w:t>按照《绩效管理制度》实行岗位绩效考核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1407" w:type="dxa"/>
            <w:vMerge w:val="continue"/>
            <w:tcBorders>
              <w:top w:val="nil"/>
            </w:tcBorders>
          </w:tcPr>
          <w:p>
            <w:pPr>
              <w:bidi w:val="0"/>
              <w:spacing w:line="360" w:lineRule="auto"/>
              <w:rPr>
                <w:rFonts w:hint="eastAsia" w:ascii="宋体" w:hAnsi="宋体" w:eastAsia="宋体" w:cs="宋体"/>
              </w:rPr>
            </w:pPr>
          </w:p>
        </w:tc>
        <w:tc>
          <w:tcPr>
            <w:tcW w:w="2853" w:type="dxa"/>
          </w:tcPr>
          <w:p>
            <w:pPr>
              <w:bidi w:val="0"/>
              <w:spacing w:line="360" w:lineRule="auto"/>
              <w:rPr>
                <w:rFonts w:hint="eastAsia" w:ascii="宋体" w:hAnsi="宋体" w:eastAsia="宋体" w:cs="宋体"/>
              </w:rPr>
            </w:pPr>
            <w:r>
              <w:rPr>
                <w:rFonts w:hint="eastAsia" w:ascii="宋体" w:hAnsi="宋体" w:eastAsia="宋体" w:cs="宋体"/>
              </w:rPr>
              <w:t>员工生日福利</w:t>
            </w:r>
          </w:p>
        </w:tc>
        <w:tc>
          <w:tcPr>
            <w:tcW w:w="4116" w:type="dxa"/>
          </w:tcPr>
          <w:p>
            <w:pPr>
              <w:bidi w:val="0"/>
              <w:spacing w:line="360" w:lineRule="auto"/>
              <w:rPr>
                <w:rFonts w:hint="eastAsia" w:ascii="宋体" w:hAnsi="宋体" w:eastAsia="宋体" w:cs="宋体"/>
              </w:rPr>
            </w:pPr>
            <w:r>
              <w:rPr>
                <w:rFonts w:hint="eastAsia" w:ascii="宋体" w:hAnsi="宋体" w:eastAsia="宋体" w:cs="宋体"/>
              </w:rPr>
              <w:t>员工当月生日福利</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trPr>
        <w:tc>
          <w:tcPr>
            <w:tcW w:w="1407" w:type="dxa"/>
            <w:vMerge w:val="continue"/>
            <w:tcBorders>
              <w:top w:val="nil"/>
            </w:tcBorders>
          </w:tcPr>
          <w:p>
            <w:pPr>
              <w:bidi w:val="0"/>
              <w:spacing w:line="360" w:lineRule="auto"/>
              <w:rPr>
                <w:rFonts w:hint="eastAsia" w:ascii="宋体" w:hAnsi="宋体" w:eastAsia="宋体" w:cs="宋体"/>
              </w:rPr>
            </w:pPr>
          </w:p>
        </w:tc>
        <w:tc>
          <w:tcPr>
            <w:tcW w:w="2853" w:type="dxa"/>
          </w:tcPr>
          <w:p>
            <w:pPr>
              <w:bidi w:val="0"/>
              <w:spacing w:line="360" w:lineRule="auto"/>
              <w:rPr>
                <w:rFonts w:hint="eastAsia" w:ascii="宋体" w:hAnsi="宋体" w:eastAsia="宋体" w:cs="宋体"/>
              </w:rPr>
            </w:pPr>
            <w:r>
              <w:rPr>
                <w:rFonts w:hint="eastAsia" w:ascii="宋体" w:hAnsi="宋体" w:eastAsia="宋体" w:cs="宋体"/>
              </w:rPr>
              <w:t>节日福利</w:t>
            </w:r>
          </w:p>
        </w:tc>
        <w:tc>
          <w:tcPr>
            <w:tcW w:w="4116" w:type="dxa"/>
          </w:tcPr>
          <w:p>
            <w:pPr>
              <w:bidi w:val="0"/>
              <w:spacing w:line="360" w:lineRule="auto"/>
              <w:rPr>
                <w:rFonts w:hint="eastAsia" w:ascii="宋体" w:hAnsi="宋体" w:eastAsia="宋体" w:cs="宋体"/>
              </w:rPr>
            </w:pPr>
            <w:r>
              <w:rPr>
                <w:rFonts w:hint="eastAsia" w:ascii="宋体" w:hAnsi="宋体" w:eastAsia="宋体" w:cs="宋体"/>
              </w:rPr>
              <w:t>中秋、端午、春节福利品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6" w:hRule="atLeast"/>
        </w:trPr>
        <w:tc>
          <w:tcPr>
            <w:tcW w:w="1407" w:type="dxa"/>
            <w:vMerge w:val="restart"/>
          </w:tcPr>
          <w:p>
            <w:pPr>
              <w:bidi w:val="0"/>
              <w:spacing w:line="360" w:lineRule="auto"/>
              <w:rPr>
                <w:rFonts w:hint="eastAsia" w:ascii="宋体" w:hAnsi="宋体" w:eastAsia="宋体" w:cs="宋体"/>
              </w:rPr>
            </w:pPr>
            <w:r>
              <w:rPr>
                <w:rFonts w:hint="eastAsia" w:ascii="宋体" w:hAnsi="宋体" w:eastAsia="宋体" w:cs="宋体"/>
              </w:rPr>
              <w:t>精神激励</w:t>
            </w:r>
          </w:p>
        </w:tc>
        <w:tc>
          <w:tcPr>
            <w:tcW w:w="2853" w:type="dxa"/>
          </w:tcPr>
          <w:p>
            <w:pPr>
              <w:bidi w:val="0"/>
              <w:spacing w:line="360" w:lineRule="auto"/>
              <w:rPr>
                <w:rFonts w:hint="eastAsia" w:ascii="宋体" w:hAnsi="宋体" w:eastAsia="宋体" w:cs="宋体"/>
              </w:rPr>
            </w:pPr>
            <w:r>
              <w:rPr>
                <w:rFonts w:hint="eastAsia" w:ascii="宋体" w:hAnsi="宋体" w:eastAsia="宋体" w:cs="宋体"/>
              </w:rPr>
              <w:t>优秀员工评选机制</w:t>
            </w:r>
          </w:p>
        </w:tc>
        <w:tc>
          <w:tcPr>
            <w:tcW w:w="4116" w:type="dxa"/>
          </w:tcPr>
          <w:p>
            <w:pPr>
              <w:bidi w:val="0"/>
              <w:spacing w:line="360" w:lineRule="auto"/>
              <w:rPr>
                <w:rFonts w:hint="eastAsia" w:ascii="宋体" w:hAnsi="宋体" w:eastAsia="宋体" w:cs="宋体"/>
              </w:rPr>
            </w:pPr>
            <w:r>
              <w:rPr>
                <w:rFonts w:hint="eastAsia" w:ascii="宋体" w:hAnsi="宋体" w:eastAsia="宋体" w:cs="宋体"/>
              </w:rPr>
              <w:t>公司在每年年末对员工的工作表现和也即</w:t>
            </w:r>
          </w:p>
          <w:p>
            <w:pPr>
              <w:bidi w:val="0"/>
              <w:spacing w:line="360" w:lineRule="auto"/>
              <w:rPr>
                <w:rFonts w:hint="eastAsia" w:ascii="宋体" w:hAnsi="宋体" w:eastAsia="宋体" w:cs="宋体"/>
              </w:rPr>
            </w:pPr>
            <w:r>
              <w:rPr>
                <w:rFonts w:hint="eastAsia" w:ascii="宋体" w:hAnsi="宋体" w:eastAsia="宋体" w:cs="宋体"/>
              </w:rPr>
              <w:t>进行评选，评出一定比例的优秀员工和优秀干部，并发放奖励</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trPr>
        <w:tc>
          <w:tcPr>
            <w:tcW w:w="1407" w:type="dxa"/>
            <w:vMerge w:val="continue"/>
            <w:tcBorders>
              <w:top w:val="nil"/>
            </w:tcBorders>
          </w:tcPr>
          <w:p>
            <w:pPr>
              <w:bidi w:val="0"/>
              <w:spacing w:line="360" w:lineRule="auto"/>
              <w:rPr>
                <w:rFonts w:hint="eastAsia" w:ascii="宋体" w:hAnsi="宋体" w:eastAsia="宋体" w:cs="宋体"/>
              </w:rPr>
            </w:pPr>
          </w:p>
        </w:tc>
        <w:tc>
          <w:tcPr>
            <w:tcW w:w="2853" w:type="dxa"/>
          </w:tcPr>
          <w:p>
            <w:pPr>
              <w:bidi w:val="0"/>
              <w:spacing w:line="360" w:lineRule="auto"/>
              <w:rPr>
                <w:rFonts w:hint="eastAsia" w:ascii="宋体" w:hAnsi="宋体" w:eastAsia="宋体" w:cs="宋体"/>
              </w:rPr>
            </w:pPr>
            <w:r>
              <w:rPr>
                <w:rFonts w:hint="eastAsia" w:ascii="宋体" w:hAnsi="宋体" w:eastAsia="宋体" w:cs="宋体"/>
              </w:rPr>
              <w:t>晋升机制</w:t>
            </w:r>
          </w:p>
        </w:tc>
        <w:tc>
          <w:tcPr>
            <w:tcW w:w="4116" w:type="dxa"/>
          </w:tcPr>
          <w:p>
            <w:pPr>
              <w:bidi w:val="0"/>
              <w:spacing w:line="360" w:lineRule="auto"/>
              <w:rPr>
                <w:rFonts w:hint="eastAsia" w:ascii="宋体" w:hAnsi="宋体" w:eastAsia="宋体" w:cs="宋体"/>
              </w:rPr>
            </w:pPr>
            <w:r>
              <w:rPr>
                <w:rFonts w:hint="eastAsia" w:ascii="宋体" w:hAnsi="宋体" w:eastAsia="宋体" w:cs="宋体"/>
              </w:rPr>
              <w:t>进行员工的晋升管理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5" w:hRule="atLeast"/>
        </w:trPr>
        <w:tc>
          <w:tcPr>
            <w:tcW w:w="1407" w:type="dxa"/>
          </w:tcPr>
          <w:p>
            <w:pPr>
              <w:bidi w:val="0"/>
              <w:spacing w:line="360" w:lineRule="auto"/>
              <w:rPr>
                <w:rFonts w:hint="eastAsia" w:ascii="宋体" w:hAnsi="宋体" w:eastAsia="宋体" w:cs="宋体"/>
              </w:rPr>
            </w:pPr>
            <w:r>
              <w:rPr>
                <w:rFonts w:hint="eastAsia" w:ascii="宋体" w:hAnsi="宋体" w:eastAsia="宋体" w:cs="宋体"/>
              </w:rPr>
              <w:t>负面激励</w:t>
            </w:r>
          </w:p>
        </w:tc>
        <w:tc>
          <w:tcPr>
            <w:tcW w:w="2853" w:type="dxa"/>
          </w:tcPr>
          <w:p>
            <w:pPr>
              <w:bidi w:val="0"/>
              <w:spacing w:line="360" w:lineRule="auto"/>
              <w:rPr>
                <w:rFonts w:hint="eastAsia" w:ascii="宋体" w:hAnsi="宋体" w:eastAsia="宋体" w:cs="宋体"/>
              </w:rPr>
            </w:pPr>
            <w:r>
              <w:rPr>
                <w:rFonts w:hint="eastAsia" w:ascii="宋体" w:hAnsi="宋体" w:eastAsia="宋体" w:cs="宋体"/>
              </w:rPr>
              <w:t>员工处分（如通告批评、警告、记过、记大过、降职降级、解除劳动合同）</w:t>
            </w:r>
          </w:p>
        </w:tc>
        <w:tc>
          <w:tcPr>
            <w:tcW w:w="4116" w:type="dxa"/>
          </w:tcPr>
          <w:p>
            <w:pPr>
              <w:bidi w:val="0"/>
              <w:spacing w:line="360" w:lineRule="auto"/>
              <w:rPr>
                <w:rFonts w:hint="eastAsia" w:ascii="宋体" w:hAnsi="宋体" w:eastAsia="宋体" w:cs="宋体"/>
              </w:rPr>
            </w:pPr>
            <w:r>
              <w:rPr>
                <w:rFonts w:hint="eastAsia" w:ascii="宋体" w:hAnsi="宋体" w:eastAsia="宋体" w:cs="宋体"/>
              </w:rPr>
              <w:t>违法公司相关规定视情节轻重分别给予通 告批评、警告、记过、记大过、降职降级、解除劳动合同处分</w:t>
            </w:r>
          </w:p>
        </w:tc>
      </w:tr>
    </w:tbl>
    <w:p>
      <w:pPr>
        <w:bidi w:val="0"/>
        <w:spacing w:line="360" w:lineRule="auto"/>
        <w:rPr>
          <w:rFonts w:hint="eastAsia" w:ascii="宋体" w:hAnsi="宋体" w:eastAsia="宋体" w:cs="宋体"/>
        </w:rPr>
      </w:pPr>
    </w:p>
    <w:p>
      <w:pPr>
        <w:bidi w:val="0"/>
        <w:spacing w:line="360" w:lineRule="auto"/>
        <w:outlineLvl w:val="2"/>
        <w:rPr>
          <w:rFonts w:hint="eastAsia" w:ascii="宋体" w:hAnsi="宋体" w:eastAsia="宋体" w:cs="宋体"/>
        </w:rPr>
      </w:pPr>
      <w:bookmarkStart w:id="8" w:name="_Toc31344"/>
      <w:r>
        <w:rPr>
          <w:rFonts w:hint="eastAsia" w:ascii="宋体" w:hAnsi="宋体" w:eastAsia="宋体" w:cs="宋体"/>
          <w:lang w:val="en-US" w:eastAsia="zh-CN"/>
        </w:rPr>
        <w:t>2.2</w:t>
      </w:r>
      <w:r>
        <w:rPr>
          <w:rFonts w:hint="eastAsia" w:ascii="宋体" w:hAnsi="宋体" w:eastAsia="宋体" w:cs="宋体"/>
        </w:rPr>
        <w:t>质量管理体系</w:t>
      </w:r>
      <w:bookmarkEnd w:id="8"/>
    </w:p>
    <w:p>
      <w:pPr>
        <w:bidi w:val="0"/>
        <w:spacing w:line="360" w:lineRule="auto"/>
        <w:rPr>
          <w:rFonts w:hint="eastAsia" w:ascii="宋体" w:hAnsi="宋体" w:eastAsia="宋体" w:cs="宋体"/>
        </w:rPr>
      </w:pPr>
      <w:r>
        <w:rPr>
          <w:rFonts w:hint="eastAsia" w:ascii="宋体" w:hAnsi="宋体" w:eastAsia="宋体" w:cs="宋体"/>
          <w:lang w:val="en-US" w:eastAsia="zh-CN"/>
        </w:rPr>
        <w:t>2.2.1</w:t>
      </w:r>
      <w:r>
        <w:rPr>
          <w:rFonts w:hint="eastAsia" w:ascii="宋体" w:hAnsi="宋体" w:eastAsia="宋体" w:cs="宋体"/>
        </w:rPr>
        <w:t>质量管理体系的建立</w:t>
      </w:r>
    </w:p>
    <w:p>
      <w:pPr>
        <w:bidi w:val="0"/>
        <w:spacing w:line="360" w:lineRule="auto"/>
        <w:ind w:firstLine="440" w:firstLineChars="200"/>
        <w:rPr>
          <w:rFonts w:hint="eastAsia" w:ascii="宋体" w:hAnsi="宋体" w:eastAsia="宋体" w:cs="宋体"/>
        </w:rPr>
      </w:pPr>
      <w:r>
        <w:rPr>
          <w:rFonts w:hint="eastAsia" w:ascii="宋体" w:hAnsi="宋体" w:eastAsia="宋体" w:cs="宋体"/>
        </w:rPr>
        <w:t>公司质量管理体系建立科学合理，稳步推进实施，运行平稳有效。公司明确了质量方针，设立了质量目标，建立了全面的管理程序文件。公司积极开展质量月、体系月等全员质量活动，不断完善质量管理体系，定期开展内审、管理评审，确保质量管理体系的有效运行。</w:t>
      </w:r>
    </w:p>
    <w:p>
      <w:pPr>
        <w:bidi w:val="0"/>
        <w:spacing w:line="360" w:lineRule="auto"/>
        <w:rPr>
          <w:rFonts w:hint="eastAsia" w:ascii="宋体" w:hAnsi="宋体" w:eastAsia="宋体" w:cs="宋体"/>
        </w:rPr>
      </w:pPr>
      <w:r>
        <w:rPr>
          <w:rFonts w:hint="eastAsia" w:ascii="宋体" w:hAnsi="宋体" w:eastAsia="宋体" w:cs="宋体"/>
          <w:lang w:val="en-US" w:eastAsia="zh-CN"/>
        </w:rPr>
        <w:t>2.2.2</w:t>
      </w:r>
      <w:r>
        <w:rPr>
          <w:rFonts w:hint="eastAsia" w:ascii="宋体" w:hAnsi="宋体" w:eastAsia="宋体" w:cs="宋体"/>
        </w:rPr>
        <w:t>质量战略、质量方针和目标</w:t>
      </w:r>
    </w:p>
    <w:p>
      <w:pPr>
        <w:bidi w:val="0"/>
        <w:spacing w:line="360" w:lineRule="auto"/>
        <w:ind w:firstLine="440" w:firstLineChars="200"/>
        <w:rPr>
          <w:rFonts w:hint="eastAsia" w:ascii="宋体" w:hAnsi="宋体" w:eastAsia="宋体" w:cs="宋体"/>
        </w:rPr>
      </w:pPr>
      <w:r>
        <w:rPr>
          <w:rFonts w:hint="eastAsia" w:ascii="宋体" w:hAnsi="宋体" w:eastAsia="宋体" w:cs="宋体"/>
        </w:rPr>
        <w:t>公司通过对内外部环境、竞争对手和标杆进行分析，同时从宏观环境和顾客的需求及</w:t>
      </w:r>
      <w:r>
        <w:rPr>
          <w:rFonts w:hint="eastAsia" w:ascii="宋体" w:hAnsi="宋体" w:eastAsia="宋体" w:cs="宋体"/>
          <w:lang w:eastAsia="zh-CN"/>
        </w:rPr>
        <w:t>期望</w:t>
      </w:r>
      <w:r>
        <w:rPr>
          <w:rFonts w:hint="eastAsia" w:ascii="宋体" w:hAnsi="宋体" w:eastAsia="宋体" w:cs="宋体"/>
        </w:rPr>
        <w:t>望等方面考虑，在公司战略委员会领导下制定了“品质稳定、信誉至上；持续精进、顾客满意”的质量方针，对质量职能规划逐步细化，并落实到公司质量方针目标中进行实施。</w:t>
      </w:r>
    </w:p>
    <w:p>
      <w:pPr>
        <w:bidi w:val="0"/>
        <w:spacing w:line="360" w:lineRule="auto"/>
        <w:ind w:firstLine="440" w:firstLineChars="200"/>
        <w:rPr>
          <w:rFonts w:hint="eastAsia" w:ascii="宋体" w:hAnsi="宋体" w:eastAsia="宋体" w:cs="宋体"/>
        </w:rPr>
      </w:pPr>
      <w:r>
        <w:rPr>
          <w:rFonts w:hint="eastAsia" w:ascii="宋体" w:hAnsi="宋体" w:eastAsia="宋体" w:cs="宋体"/>
        </w:rPr>
        <w:t>公司以顾客为导向，形成了从产品研发—物料采购—生产制造—售后服务全过程的质量控制链，明确了关键质量控制点和关键工序，确保了每个环节、每道工序的质量控制符合规定要求；公司积极开展质量月、体系月等全员质量活动，不断完善质量管理体系，定期开展内审、管理评审，确保质量管理体系的有效运行；公司设立了</w:t>
      </w:r>
      <w:r>
        <w:rPr>
          <w:rFonts w:hint="eastAsia" w:ascii="宋体" w:hAnsi="宋体" w:eastAsia="宋体" w:cs="宋体"/>
          <w:lang w:eastAsia="zh-CN"/>
        </w:rPr>
        <w:t>销售</w:t>
      </w:r>
      <w:r>
        <w:rPr>
          <w:rFonts w:hint="eastAsia" w:ascii="宋体" w:hAnsi="宋体" w:eastAsia="宋体" w:cs="宋体"/>
        </w:rPr>
        <w:t>部</w:t>
      </w:r>
      <w:r>
        <w:rPr>
          <w:rFonts w:hint="eastAsia" w:ascii="宋体" w:hAnsi="宋体" w:eastAsia="宋体" w:cs="宋体"/>
          <w:lang w:eastAsia="zh-CN"/>
        </w:rPr>
        <w:t>门</w:t>
      </w:r>
      <w:r>
        <w:rPr>
          <w:rFonts w:hint="eastAsia" w:ascii="宋体" w:hAnsi="宋体" w:eastAsia="宋体" w:cs="宋体"/>
        </w:rPr>
        <w:t>，对售后服务进行回访监督，确保了服务的及时性、有效性。</w:t>
      </w:r>
    </w:p>
    <w:p>
      <w:pPr>
        <w:bidi w:val="0"/>
        <w:spacing w:line="360" w:lineRule="auto"/>
        <w:ind w:firstLine="440" w:firstLineChars="200"/>
        <w:rPr>
          <w:rFonts w:hint="eastAsia" w:ascii="宋体" w:hAnsi="宋体" w:eastAsia="宋体" w:cs="宋体"/>
        </w:rPr>
      </w:pPr>
    </w:p>
    <w:p>
      <w:pPr>
        <w:numPr>
          <w:ilvl w:val="0"/>
          <w:numId w:val="0"/>
        </w:numPr>
        <w:bidi w:val="0"/>
        <w:spacing w:line="360" w:lineRule="auto"/>
        <w:ind w:right="0" w:rightChars="0"/>
        <w:rPr>
          <w:rFonts w:hint="eastAsia" w:ascii="宋体" w:hAnsi="宋体" w:eastAsia="宋体" w:cs="宋体"/>
        </w:rPr>
      </w:pPr>
      <w:r>
        <w:rPr>
          <w:rFonts w:hint="eastAsia" w:ascii="宋体" w:hAnsi="宋体" w:eastAsia="宋体" w:cs="宋体"/>
          <w:lang w:val="en-US" w:eastAsia="zh-CN"/>
        </w:rPr>
        <w:t>2.2.3</w:t>
      </w:r>
      <w:r>
        <w:rPr>
          <w:rFonts w:hint="eastAsia" w:ascii="宋体" w:hAnsi="宋体" w:eastAsia="宋体" w:cs="宋体"/>
        </w:rPr>
        <w:t>质量教育和内部沟通</w:t>
      </w:r>
    </w:p>
    <w:p>
      <w:pPr>
        <w:numPr>
          <w:ilvl w:val="0"/>
          <w:numId w:val="0"/>
        </w:numPr>
        <w:bidi w:val="0"/>
        <w:spacing w:line="360" w:lineRule="auto"/>
        <w:ind w:right="0" w:rightChars="0" w:firstLine="440" w:firstLineChars="200"/>
        <w:rPr>
          <w:rFonts w:hint="eastAsia" w:ascii="宋体" w:hAnsi="宋体" w:eastAsia="宋体" w:cs="宋体"/>
        </w:rPr>
      </w:pPr>
      <w:r>
        <w:rPr>
          <w:rFonts w:hint="eastAsia" w:ascii="宋体" w:hAnsi="宋体" w:eastAsia="宋体" w:cs="宋体"/>
        </w:rPr>
        <w:t>为提高一线员工质量意识，增强质量事故预防和应急处理能力，公司制定了质量管理培训制度和年度培训计划，组织员工接受质量教育和培训，掌握工作所需的质量知识和技能。为使全体员工对质量管理工作达成共识，公司通过文件、通报、通知、报纸和宣传栏、质量月等形式与全体员工进行内部沟通，宣贯年度企业方针目标和质量目标，确保质量管理体系运行的有效性。</w:t>
      </w:r>
    </w:p>
    <w:p>
      <w:pPr>
        <w:numPr>
          <w:ilvl w:val="0"/>
          <w:numId w:val="0"/>
        </w:numPr>
        <w:bidi w:val="0"/>
        <w:spacing w:line="360" w:lineRule="auto"/>
        <w:ind w:right="0" w:rightChars="0"/>
        <w:rPr>
          <w:rFonts w:hint="eastAsia" w:ascii="宋体" w:hAnsi="宋体" w:eastAsia="宋体" w:cs="宋体"/>
        </w:rPr>
      </w:pPr>
      <w:r>
        <w:rPr>
          <w:rFonts w:hint="eastAsia" w:ascii="宋体" w:hAnsi="宋体" w:eastAsia="宋体" w:cs="宋体"/>
        </w:rPr>
        <w:t>培训管理流程，见下图：</w:t>
      </w:r>
    </w:p>
    <w:p>
      <w:pPr>
        <w:spacing w:line="360" w:lineRule="auto"/>
        <w:ind w:firstLine="440" w:firstLineChars="200"/>
        <w:jc w:val="both"/>
        <w:rPr>
          <w:rFonts w:hint="eastAsia" w:ascii="宋体" w:hAnsi="宋体" w:eastAsia="宋体" w:cs="宋体"/>
        </w:rPr>
      </w:pPr>
      <w:r>
        <w:rPr>
          <w:rFonts w:hint="eastAsia" w:ascii="宋体" w:hAnsi="宋体" w:eastAsia="宋体" w:cs="宋体"/>
        </w:rPr>
        <w:drawing>
          <wp:inline distT="0" distB="0" distL="0" distR="0">
            <wp:extent cx="3578860" cy="4912360"/>
            <wp:effectExtent l="0" t="0" r="2540" b="2540"/>
            <wp:docPr id="5" name="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jpeg"/>
                    <pic:cNvPicPr>
                      <a:picLocks noChangeAspect="1"/>
                    </pic:cNvPicPr>
                  </pic:nvPicPr>
                  <pic:blipFill>
                    <a:blip r:embed="rId9" cstate="print"/>
                    <a:stretch>
                      <a:fillRect/>
                    </a:stretch>
                  </pic:blipFill>
                  <pic:spPr>
                    <a:xfrm>
                      <a:off x="0" y="0"/>
                      <a:ext cx="3578860" cy="4912360"/>
                    </a:xfrm>
                    <a:prstGeom prst="rect">
                      <a:avLst/>
                    </a:prstGeom>
                  </pic:spPr>
                </pic:pic>
              </a:graphicData>
            </a:graphic>
          </wp:inline>
        </w:drawing>
      </w:r>
    </w:p>
    <w:p>
      <w:pPr>
        <w:bidi w:val="0"/>
        <w:spacing w:line="360" w:lineRule="auto"/>
        <w:rPr>
          <w:rFonts w:hint="eastAsia" w:ascii="宋体" w:hAnsi="宋体" w:eastAsia="宋体" w:cs="宋体"/>
        </w:rPr>
      </w:pPr>
      <w:r>
        <w:rPr>
          <w:rFonts w:hint="eastAsia" w:ascii="宋体" w:hAnsi="宋体" w:eastAsia="宋体" w:cs="宋体"/>
          <w:lang w:val="en-US" w:eastAsia="zh-CN"/>
        </w:rPr>
        <w:t>2.2.4</w:t>
      </w:r>
      <w:r>
        <w:rPr>
          <w:rFonts w:hint="eastAsia" w:ascii="宋体" w:hAnsi="宋体" w:eastAsia="宋体" w:cs="宋体"/>
        </w:rPr>
        <w:t>质量守法合规</w:t>
      </w:r>
    </w:p>
    <w:p>
      <w:pPr>
        <w:bidi w:val="0"/>
        <w:spacing w:line="360" w:lineRule="auto"/>
        <w:ind w:firstLine="440" w:firstLineChars="200"/>
        <w:rPr>
          <w:rFonts w:hint="eastAsia" w:ascii="宋体" w:hAnsi="宋体" w:eastAsia="宋体" w:cs="宋体"/>
        </w:rPr>
      </w:pPr>
      <w:r>
        <w:rPr>
          <w:rFonts w:hint="eastAsia" w:ascii="宋体" w:hAnsi="宋体" w:eastAsia="宋体" w:cs="宋体"/>
        </w:rPr>
        <w:t>公司恪守国家各项法律法规，规范各项生产经营活动，按章纳税，严格按照《公司法》要求完善公司治理结构。公司制订了普法规划，办公室分年度落实推进，并从外部聘请了专业法律顾问，保证企业依法规范运作。</w:t>
      </w:r>
    </w:p>
    <w:p>
      <w:pPr>
        <w:bidi w:val="0"/>
        <w:spacing w:line="360" w:lineRule="auto"/>
        <w:ind w:firstLine="440" w:firstLineChars="200"/>
        <w:rPr>
          <w:rFonts w:hint="eastAsia" w:ascii="宋体" w:hAnsi="宋体" w:eastAsia="宋体" w:cs="宋体"/>
        </w:rPr>
      </w:pPr>
      <w:r>
        <w:rPr>
          <w:rFonts w:hint="eastAsia" w:ascii="宋体" w:hAnsi="宋体" w:eastAsia="宋体" w:cs="宋体"/>
        </w:rPr>
        <w:t>同时，公司重视普法培训工作，积极推进本部及分子公司开展普法培训活动，有针对性地学习了《产品质量法》、《合同法》、《消费者权益保护法》、《反不正当竞争法》、《特种设备安全监察条例》等法律知识，增强员工法律意识。公司在日常经营活动中没有发生</w:t>
      </w:r>
      <w:r>
        <w:rPr>
          <w:rFonts w:hint="eastAsia" w:ascii="宋体" w:hAnsi="宋体" w:eastAsia="宋体" w:cs="宋体"/>
          <w:lang w:eastAsia="zh-CN"/>
        </w:rPr>
        <w:t>重</w:t>
      </w:r>
      <w:r>
        <w:rPr>
          <w:rFonts w:hint="eastAsia" w:ascii="宋体" w:hAnsi="宋体" w:eastAsia="宋体" w:cs="宋体"/>
        </w:rPr>
        <w:t>大质量诉讼事项。</w:t>
      </w:r>
    </w:p>
    <w:p>
      <w:pPr>
        <w:bidi w:val="0"/>
        <w:spacing w:line="360" w:lineRule="auto"/>
        <w:rPr>
          <w:rFonts w:hint="eastAsia" w:ascii="宋体" w:hAnsi="宋体" w:eastAsia="宋体" w:cs="宋体"/>
        </w:rPr>
      </w:pPr>
      <w:r>
        <w:rPr>
          <w:rFonts w:hint="eastAsia" w:ascii="宋体" w:hAnsi="宋体" w:eastAsia="宋体" w:cs="宋体"/>
          <w:lang w:val="en-US" w:eastAsia="zh-CN"/>
        </w:rPr>
        <w:t>2.2.5</w:t>
      </w:r>
      <w:r>
        <w:rPr>
          <w:rFonts w:hint="eastAsia" w:ascii="宋体" w:hAnsi="宋体" w:eastAsia="宋体" w:cs="宋体"/>
        </w:rPr>
        <w:t>质量责任追究制度</w:t>
      </w:r>
    </w:p>
    <w:p>
      <w:pPr>
        <w:bidi w:val="0"/>
        <w:spacing w:line="360" w:lineRule="auto"/>
        <w:ind w:firstLine="440" w:firstLineChars="200"/>
        <w:rPr>
          <w:rFonts w:hint="eastAsia" w:ascii="宋体" w:hAnsi="宋体" w:eastAsia="宋体" w:cs="宋体"/>
        </w:rPr>
      </w:pPr>
      <w:r>
        <w:rPr>
          <w:rFonts w:hint="eastAsia" w:ascii="宋体" w:hAnsi="宋体" w:eastAsia="宋体" w:cs="宋体"/>
        </w:rPr>
        <w:t>为了明确质量责任，公司制定了质量责任追究制度，对各级各类人员在其承担质量责任范围内出现的质量问题予以追究，以提高工作质量、和产品质量。公司以营销网络为依托，建立了快捷有效的质量信息沟通及统计分析平台，建立投诉热线，及时收集、分析处理顾客需求，并将有效需求传达至相关部门及员工，对责任事件予以追究。</w:t>
      </w:r>
    </w:p>
    <w:p>
      <w:pPr>
        <w:bidi w:val="0"/>
        <w:spacing w:line="360" w:lineRule="auto"/>
        <w:outlineLvl w:val="2"/>
        <w:rPr>
          <w:rFonts w:hint="eastAsia" w:ascii="宋体" w:hAnsi="宋体" w:eastAsia="宋体" w:cs="宋体"/>
        </w:rPr>
      </w:pPr>
      <w:bookmarkStart w:id="9" w:name="_Toc32348"/>
      <w:r>
        <w:rPr>
          <w:rFonts w:hint="eastAsia" w:ascii="宋体" w:hAnsi="宋体" w:eastAsia="宋体" w:cs="宋体"/>
          <w:lang w:val="en-US" w:eastAsia="zh-CN"/>
        </w:rPr>
        <w:t>2.3</w:t>
      </w:r>
      <w:r>
        <w:rPr>
          <w:rFonts w:hint="eastAsia" w:ascii="宋体" w:hAnsi="宋体" w:eastAsia="宋体" w:cs="宋体"/>
        </w:rPr>
        <w:t>公司质量管理方法</w:t>
      </w:r>
      <w:bookmarkEnd w:id="9"/>
    </w:p>
    <w:p>
      <w:pPr>
        <w:bidi w:val="0"/>
        <w:spacing w:line="360" w:lineRule="auto"/>
        <w:rPr>
          <w:rFonts w:hint="eastAsia" w:ascii="宋体" w:hAnsi="宋体" w:eastAsia="宋体" w:cs="宋体"/>
        </w:rPr>
      </w:pPr>
      <w:r>
        <w:rPr>
          <w:rFonts w:hint="eastAsia" w:ascii="宋体" w:hAnsi="宋体" w:eastAsia="宋体" w:cs="宋体"/>
          <w:lang w:val="en-US" w:eastAsia="zh-CN"/>
        </w:rPr>
        <w:t>2.3.1</w:t>
      </w:r>
      <w:r>
        <w:rPr>
          <w:rFonts w:hint="eastAsia" w:ascii="宋体" w:hAnsi="宋体" w:eastAsia="宋体" w:cs="宋体"/>
        </w:rPr>
        <w:t>质量体系建设</w:t>
      </w:r>
    </w:p>
    <w:p>
      <w:pPr>
        <w:bidi w:val="0"/>
        <w:spacing w:line="360" w:lineRule="auto"/>
        <w:rPr>
          <w:rFonts w:hint="eastAsia" w:ascii="宋体" w:hAnsi="宋体" w:eastAsia="宋体" w:cs="宋体"/>
        </w:rPr>
      </w:pPr>
      <w:r>
        <w:rPr>
          <w:rFonts w:hint="eastAsia" w:ascii="宋体" w:hAnsi="宋体" w:eastAsia="宋体" w:cs="宋体"/>
          <w:lang w:val="en-US" w:eastAsia="zh-CN"/>
        </w:rPr>
        <w:t>2.3.1.1</w:t>
      </w:r>
      <w:r>
        <w:rPr>
          <w:rFonts w:hint="eastAsia" w:ascii="宋体" w:hAnsi="宋体" w:eastAsia="宋体" w:cs="宋体"/>
        </w:rPr>
        <w:t>质量内部审核</w:t>
      </w:r>
    </w:p>
    <w:p>
      <w:pPr>
        <w:bidi w:val="0"/>
        <w:spacing w:line="360" w:lineRule="auto"/>
        <w:ind w:firstLine="440" w:firstLineChars="200"/>
        <w:rPr>
          <w:rFonts w:hint="eastAsia" w:ascii="宋体" w:hAnsi="宋体" w:eastAsia="宋体" w:cs="宋体"/>
        </w:rPr>
      </w:pPr>
      <w:r>
        <w:rPr>
          <w:rFonts w:hint="eastAsia" w:ascii="宋体" w:hAnsi="宋体" w:eastAsia="宋体" w:cs="宋体"/>
        </w:rPr>
        <w:t>公司建立《质量内部审核制度》，以不断完善质量体系。公司结合外部审核的意见，周密策划内审活动，对公司质量体系运行情况及受控状态进行评定审核，发现问题，持续改进，不断完善质量管理体系。</w:t>
      </w:r>
    </w:p>
    <w:p>
      <w:pPr>
        <w:bidi w:val="0"/>
        <w:spacing w:line="360" w:lineRule="auto"/>
        <w:rPr>
          <w:rFonts w:hint="eastAsia" w:ascii="宋体" w:hAnsi="宋体" w:eastAsia="宋体" w:cs="宋体"/>
        </w:rPr>
      </w:pPr>
      <w:r>
        <w:rPr>
          <w:rFonts w:hint="eastAsia" w:ascii="宋体" w:hAnsi="宋体" w:eastAsia="宋体" w:cs="宋体"/>
          <w:lang w:val="en-US" w:eastAsia="zh-CN"/>
        </w:rPr>
        <w:t>2.3.1.2</w:t>
      </w:r>
      <w:r>
        <w:rPr>
          <w:rFonts w:hint="eastAsia" w:ascii="宋体" w:hAnsi="宋体" w:eastAsia="宋体" w:cs="宋体"/>
        </w:rPr>
        <w:t>管理评审</w:t>
      </w:r>
    </w:p>
    <w:p>
      <w:pPr>
        <w:bidi w:val="0"/>
        <w:spacing w:line="360" w:lineRule="auto"/>
        <w:ind w:firstLine="440" w:firstLineChars="200"/>
        <w:rPr>
          <w:rFonts w:hint="eastAsia" w:ascii="宋体" w:hAnsi="宋体" w:eastAsia="宋体" w:cs="宋体"/>
        </w:rPr>
      </w:pPr>
      <w:r>
        <w:rPr>
          <w:rFonts w:hint="eastAsia" w:ascii="宋体" w:hAnsi="宋体" w:eastAsia="宋体" w:cs="宋体"/>
        </w:rPr>
        <w:t>公司建立、保持《管理评审程序》，定期召开管理评审会议，评价本公司的质量管理体系（包括质量方针和目标）是否需要变动或改进，以确保管理体系持续的适宜性、充分性、有效性，并形成管理评审报告。</w:t>
      </w:r>
    </w:p>
    <w:p>
      <w:pPr>
        <w:bidi w:val="0"/>
        <w:spacing w:line="360" w:lineRule="auto"/>
        <w:rPr>
          <w:rFonts w:hint="eastAsia" w:ascii="宋体" w:hAnsi="宋体" w:eastAsia="宋体" w:cs="宋体"/>
        </w:rPr>
      </w:pPr>
      <w:r>
        <w:rPr>
          <w:rFonts w:hint="eastAsia" w:ascii="宋体" w:hAnsi="宋体" w:eastAsia="宋体" w:cs="宋体"/>
          <w:lang w:val="en-US" w:eastAsia="zh-CN"/>
        </w:rPr>
        <w:t>2.3.2</w:t>
      </w:r>
      <w:r>
        <w:rPr>
          <w:rFonts w:hint="eastAsia" w:ascii="宋体" w:hAnsi="宋体" w:eastAsia="宋体" w:cs="宋体"/>
        </w:rPr>
        <w:t>精益生产</w:t>
      </w:r>
    </w:p>
    <w:p>
      <w:pPr>
        <w:bidi w:val="0"/>
        <w:spacing w:line="360" w:lineRule="auto"/>
        <w:ind w:firstLine="440" w:firstLineChars="200"/>
        <w:rPr>
          <w:rFonts w:hint="eastAsia" w:ascii="宋体" w:hAnsi="宋体" w:eastAsia="宋体" w:cs="宋体"/>
        </w:rPr>
      </w:pPr>
      <w:r>
        <w:rPr>
          <w:rFonts w:hint="eastAsia" w:ascii="宋体" w:hAnsi="宋体" w:eastAsia="宋体" w:cs="宋体"/>
        </w:rPr>
        <w:t>公司为了满足生产过程的要求，提高产品质量，降低成本，提高生产效率，对生产流程进行了设计，并制定了</w:t>
      </w:r>
      <w:r>
        <w:rPr>
          <w:rFonts w:hint="eastAsia" w:ascii="宋体" w:hAnsi="宋体" w:eastAsia="宋体" w:cs="宋体"/>
          <w:highlight w:val="none"/>
        </w:rPr>
        <w:t>《生产过程控制程序》</w:t>
      </w:r>
      <w:r>
        <w:rPr>
          <w:rFonts w:hint="eastAsia" w:ascii="宋体" w:hAnsi="宋体" w:eastAsia="宋体" w:cs="宋体"/>
        </w:rPr>
        <w:t>等对生产过程进行严格管理，同时采用了系统管理软件，以及时交付生产管理理念，建立了从顾客订货、生产计划、采购计划、产品生产、产品检验、产品入库到产品交付各环节的统计报表管理系统，实现了生产过程信息即时共享，提高了产品生</w:t>
      </w:r>
      <w:bookmarkStart w:id="25" w:name="_GoBack"/>
      <w:bookmarkEnd w:id="25"/>
      <w:r>
        <w:rPr>
          <w:rFonts w:hint="eastAsia" w:ascii="宋体" w:hAnsi="宋体" w:eastAsia="宋体" w:cs="宋体"/>
        </w:rPr>
        <w:t>产快速响应速度。</w:t>
      </w:r>
    </w:p>
    <w:p>
      <w:pPr>
        <w:bidi w:val="0"/>
        <w:spacing w:line="360" w:lineRule="auto"/>
        <w:rPr>
          <w:rFonts w:hint="eastAsia" w:ascii="宋体" w:hAnsi="宋体" w:eastAsia="宋体" w:cs="宋体"/>
        </w:rPr>
      </w:pPr>
      <w:r>
        <w:rPr>
          <w:rFonts w:hint="eastAsia" w:ascii="宋体" w:hAnsi="宋体" w:eastAsia="宋体" w:cs="宋体"/>
          <w:lang w:val="en-US" w:eastAsia="zh-CN"/>
        </w:rPr>
        <w:t>2.3.3</w:t>
      </w:r>
      <w:r>
        <w:rPr>
          <w:rFonts w:hint="eastAsia" w:ascii="宋体" w:hAnsi="宋体" w:eastAsia="宋体" w:cs="宋体"/>
        </w:rPr>
        <w:t>生产现场 5S 管理方法</w:t>
      </w:r>
    </w:p>
    <w:p>
      <w:pPr>
        <w:spacing w:line="360" w:lineRule="auto"/>
        <w:ind w:firstLine="440" w:firstLineChars="200"/>
        <w:jc w:val="both"/>
        <w:rPr>
          <w:rFonts w:hint="eastAsia" w:ascii="宋体" w:hAnsi="宋体" w:eastAsia="宋体" w:cs="宋体"/>
        </w:rPr>
      </w:pPr>
      <w:r>
        <w:rPr>
          <w:rFonts w:hint="eastAsia" w:ascii="宋体" w:hAnsi="宋体" w:eastAsia="宋体" w:cs="宋体"/>
        </w:rPr>
        <w:t xml:space="preserve">公司对该过程的整体成本进行了识别，主要包括：生产管理成本、质量成本等，并积极采取各种措施实现成本最小化。 </w:t>
      </w:r>
    </w:p>
    <w:p>
      <w:pPr>
        <w:numPr>
          <w:ilvl w:val="0"/>
          <w:numId w:val="2"/>
        </w:numPr>
        <w:spacing w:line="360" w:lineRule="auto"/>
        <w:ind w:firstLine="440" w:firstLineChars="200"/>
        <w:jc w:val="both"/>
        <w:rPr>
          <w:rFonts w:hint="eastAsia" w:ascii="宋体" w:hAnsi="宋体" w:eastAsia="宋体" w:cs="宋体"/>
        </w:rPr>
      </w:pPr>
      <w:r>
        <w:rPr>
          <w:rFonts w:hint="eastAsia" w:ascii="宋体" w:hAnsi="宋体" w:eastAsia="宋体" w:cs="宋体"/>
        </w:rPr>
        <w:t>通过流程再造、工艺技术改进、实施作业标准化等，并通过不断改进、创新和优化， 提高生产效率和产品质量，促进产品升级，降低生产成本；</w:t>
      </w:r>
    </w:p>
    <w:p>
      <w:pPr>
        <w:numPr>
          <w:ilvl w:val="0"/>
          <w:numId w:val="2"/>
        </w:numPr>
        <w:spacing w:line="360" w:lineRule="auto"/>
        <w:ind w:firstLine="440" w:firstLineChars="200"/>
        <w:jc w:val="both"/>
        <w:rPr>
          <w:rFonts w:hint="eastAsia" w:ascii="宋体" w:hAnsi="宋体" w:eastAsia="宋体" w:cs="宋体"/>
          <w:lang w:val="en-US" w:eastAsia="zh-CN"/>
        </w:rPr>
      </w:pPr>
      <w:r>
        <w:rPr>
          <w:rFonts w:hint="eastAsia" w:ascii="宋体" w:hAnsi="宋体" w:eastAsia="宋体" w:cs="宋体"/>
        </w:rPr>
        <w:t xml:space="preserve"> 通过提案改善等活动，生产过程合理优化，以降低生产成本。 </w:t>
      </w:r>
    </w:p>
    <w:p>
      <w:pPr>
        <w:numPr>
          <w:ilvl w:val="0"/>
          <w:numId w:val="0"/>
        </w:numPr>
        <w:spacing w:line="360" w:lineRule="auto"/>
        <w:ind w:right="0" w:rightChars="0"/>
        <w:jc w:val="both"/>
        <w:rPr>
          <w:rFonts w:hint="eastAsia" w:ascii="宋体" w:hAnsi="宋体" w:eastAsia="宋体" w:cs="宋体"/>
        </w:rPr>
      </w:pPr>
      <w:r>
        <w:rPr>
          <w:rFonts w:hint="eastAsia" w:ascii="宋体" w:hAnsi="宋体" w:eastAsia="宋体" w:cs="宋体"/>
        </w:rPr>
        <w:t xml:space="preserve">2.3.4 供应商管理 </w:t>
      </w:r>
    </w:p>
    <w:p>
      <w:pPr>
        <w:numPr>
          <w:ilvl w:val="0"/>
          <w:numId w:val="0"/>
        </w:numPr>
        <w:spacing w:line="360" w:lineRule="auto"/>
        <w:ind w:right="0" w:rightChars="0" w:firstLine="440" w:firstLineChars="200"/>
        <w:jc w:val="both"/>
        <w:rPr>
          <w:rFonts w:hint="eastAsia" w:ascii="宋体" w:hAnsi="宋体" w:eastAsia="宋体" w:cs="宋体"/>
        </w:rPr>
      </w:pPr>
      <w:r>
        <w:rPr>
          <w:rFonts w:hint="eastAsia" w:ascii="宋体" w:hAnsi="宋体" w:eastAsia="宋体" w:cs="宋体"/>
        </w:rPr>
        <w:t xml:space="preserve">公司根据“互利双赢”的理念和“同质比价”的原则，以质量管理体系为依托，从供应商管理、采购业务过程和进货检验等三方面对物控管理过程进行了设计，为原材料的 质量符合要求提供了保障。 </w:t>
      </w:r>
    </w:p>
    <w:p>
      <w:pPr>
        <w:numPr>
          <w:ilvl w:val="0"/>
          <w:numId w:val="0"/>
        </w:numPr>
        <w:spacing w:line="360" w:lineRule="auto"/>
        <w:ind w:right="0" w:rightChars="0" w:firstLine="440" w:firstLineChars="200"/>
        <w:jc w:val="both"/>
        <w:rPr>
          <w:rFonts w:hint="eastAsia" w:ascii="宋体" w:hAnsi="宋体" w:eastAsia="宋体" w:cs="宋体"/>
        </w:rPr>
      </w:pPr>
      <w:r>
        <w:rPr>
          <w:rFonts w:hint="eastAsia" w:ascii="宋体" w:hAnsi="宋体" w:eastAsia="宋体" w:cs="宋体"/>
        </w:rPr>
        <w:t>采购管理流程，如下图：</w:t>
      </w:r>
    </w:p>
    <w:p>
      <w:pPr>
        <w:numPr>
          <w:ilvl w:val="0"/>
          <w:numId w:val="0"/>
        </w:numPr>
        <w:spacing w:line="360" w:lineRule="auto"/>
        <w:ind w:right="0" w:rightChars="0"/>
        <w:jc w:val="both"/>
        <w:rPr>
          <w:rFonts w:hint="eastAsia" w:ascii="宋体" w:hAnsi="宋体" w:eastAsia="宋体" w:cs="宋体"/>
        </w:rPr>
      </w:pPr>
      <w:r>
        <w:rPr>
          <w:rFonts w:hint="eastAsia" w:ascii="宋体" w:hAnsi="宋体" w:eastAsia="宋体" w:cs="宋体"/>
        </w:rPr>
        <w:drawing>
          <wp:inline distT="0" distB="0" distL="114300" distR="114300">
            <wp:extent cx="5000625" cy="4343400"/>
            <wp:effectExtent l="0" t="0" r="9525" b="0"/>
            <wp:docPr id="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pic:cNvPicPr>
                      <a:picLocks noChangeAspect="1"/>
                    </pic:cNvPicPr>
                  </pic:nvPicPr>
                  <pic:blipFill>
                    <a:blip r:embed="rId10"/>
                    <a:stretch>
                      <a:fillRect/>
                    </a:stretch>
                  </pic:blipFill>
                  <pic:spPr>
                    <a:xfrm>
                      <a:off x="0" y="0"/>
                      <a:ext cx="5000625" cy="4343400"/>
                    </a:xfrm>
                    <a:prstGeom prst="rect">
                      <a:avLst/>
                    </a:prstGeom>
                    <a:noFill/>
                    <a:ln>
                      <a:noFill/>
                    </a:ln>
                  </pic:spPr>
                </pic:pic>
              </a:graphicData>
            </a:graphic>
          </wp:inline>
        </w:drawing>
      </w:r>
    </w:p>
    <w:p>
      <w:pPr>
        <w:numPr>
          <w:ilvl w:val="0"/>
          <w:numId w:val="0"/>
        </w:numPr>
        <w:spacing w:line="360" w:lineRule="auto"/>
        <w:ind w:right="0" w:rightChars="0"/>
        <w:jc w:val="both"/>
        <w:rPr>
          <w:rFonts w:hint="eastAsia" w:ascii="宋体" w:hAnsi="宋体" w:eastAsia="宋体" w:cs="宋体"/>
          <w:lang w:val="en-US" w:eastAsia="zh-CN"/>
        </w:rPr>
      </w:pPr>
      <w:r>
        <w:rPr>
          <w:rFonts w:hint="eastAsia" w:ascii="宋体" w:hAnsi="宋体" w:eastAsia="宋体" w:cs="宋体"/>
          <w:lang w:val="en-US" w:eastAsia="zh-CN"/>
        </w:rPr>
        <w:t xml:space="preserve">2.3.5 质量攻关 </w:t>
      </w:r>
    </w:p>
    <w:p>
      <w:pPr>
        <w:numPr>
          <w:ilvl w:val="0"/>
          <w:numId w:val="0"/>
        </w:numPr>
        <w:spacing w:line="360" w:lineRule="auto"/>
        <w:ind w:right="0" w:rightChars="0" w:firstLine="440" w:firstLineChars="200"/>
        <w:jc w:val="both"/>
        <w:rPr>
          <w:rFonts w:hint="eastAsia" w:ascii="宋体" w:hAnsi="宋体" w:eastAsia="宋体" w:cs="宋体"/>
          <w:lang w:val="en-US" w:eastAsia="zh-CN"/>
        </w:rPr>
      </w:pPr>
      <w:r>
        <w:rPr>
          <w:rFonts w:hint="eastAsia" w:ascii="宋体" w:hAnsi="宋体" w:eastAsia="宋体" w:cs="宋体"/>
          <w:lang w:val="en-US" w:eastAsia="zh-CN"/>
        </w:rPr>
        <w:t>为了有针对性的解决生产、市场中反馈的各类质量问题，公司每年度汇总、分析、列出 质量攻关项目，开展质量攻关。质量攻关着眼于产品的先进技术指标。质量攻关不仅提升了 产品的质量，也促进了行业配套产品的质量提升。其质量和技术攻关成果促进了输配电行业 的发展。</w:t>
      </w:r>
    </w:p>
    <w:p>
      <w:pPr>
        <w:numPr>
          <w:ilvl w:val="0"/>
          <w:numId w:val="0"/>
        </w:numPr>
        <w:spacing w:line="360" w:lineRule="auto"/>
        <w:ind w:right="0" w:rightChars="0"/>
        <w:jc w:val="both"/>
        <w:rPr>
          <w:rFonts w:hint="eastAsia" w:ascii="宋体" w:hAnsi="宋体" w:eastAsia="宋体" w:cs="宋体"/>
          <w:lang w:val="en-US" w:eastAsia="zh-CN"/>
        </w:rPr>
      </w:pPr>
      <w:r>
        <w:rPr>
          <w:rFonts w:hint="eastAsia" w:ascii="宋体" w:hAnsi="宋体" w:eastAsia="宋体" w:cs="宋体"/>
          <w:lang w:val="en-US" w:eastAsia="zh-CN"/>
        </w:rPr>
        <w:t xml:space="preserve">2.3.6 研发保证产品质量 </w:t>
      </w:r>
    </w:p>
    <w:p>
      <w:pPr>
        <w:numPr>
          <w:ilvl w:val="0"/>
          <w:numId w:val="0"/>
        </w:numPr>
        <w:spacing w:line="360" w:lineRule="auto"/>
        <w:ind w:right="0" w:rightChars="0" w:firstLine="440" w:firstLineChars="200"/>
        <w:jc w:val="both"/>
        <w:rPr>
          <w:rFonts w:hint="eastAsia" w:ascii="宋体" w:hAnsi="宋体" w:eastAsia="宋体" w:cs="宋体"/>
          <w:lang w:val="en-US" w:eastAsia="zh-CN"/>
        </w:rPr>
      </w:pPr>
      <w:r>
        <w:rPr>
          <w:rFonts w:hint="eastAsia" w:ascii="宋体" w:hAnsi="宋体" w:eastAsia="宋体" w:cs="宋体"/>
          <w:lang w:val="en-US" w:eastAsia="zh-CN"/>
        </w:rPr>
        <w:t xml:space="preserve">产品的技术创新是企业创新的源泉。为更好地保证产品的研发质量，公司积极导入信息 化平台，将产品开发、管理等流程纳入信息化平台，方便企业员工信息交流和共享。公司根 据战略目标要求，围绕差异化产品定位，致力于推动技术创新，不断为客户提供优质可靠的产品。产品研发流程详见下图。 </w:t>
      </w:r>
    </w:p>
    <w:p>
      <w:pPr>
        <w:numPr>
          <w:ilvl w:val="0"/>
          <w:numId w:val="0"/>
        </w:numPr>
        <w:spacing w:line="360" w:lineRule="auto"/>
        <w:ind w:right="0" w:rightChars="0" w:firstLine="440" w:firstLineChars="200"/>
        <w:jc w:val="both"/>
        <w:rPr>
          <w:rFonts w:hint="eastAsia" w:ascii="宋体" w:hAnsi="宋体" w:eastAsia="宋体" w:cs="宋体"/>
          <w:lang w:val="en-US" w:eastAsia="zh-CN"/>
        </w:rPr>
      </w:pPr>
      <w:r>
        <w:rPr>
          <w:rFonts w:hint="eastAsia" w:ascii="宋体" w:hAnsi="宋体" w:eastAsia="宋体" w:cs="宋体"/>
          <w:lang w:val="en-US" w:eastAsia="zh-CN"/>
        </w:rPr>
        <w:t>产品研发流程，如下图：</w:t>
      </w:r>
    </w:p>
    <w:p>
      <w:pPr>
        <w:numPr>
          <w:ilvl w:val="0"/>
          <w:numId w:val="0"/>
        </w:numPr>
        <w:spacing w:line="360" w:lineRule="auto"/>
        <w:ind w:right="0" w:rightChars="0" w:firstLine="440" w:firstLineChars="200"/>
        <w:jc w:val="both"/>
        <w:rPr>
          <w:rFonts w:hint="eastAsia" w:ascii="宋体" w:hAnsi="宋体" w:eastAsia="宋体" w:cs="宋体"/>
        </w:rPr>
      </w:pPr>
      <w:r>
        <w:rPr>
          <w:rFonts w:hint="eastAsia" w:ascii="宋体" w:hAnsi="宋体" w:eastAsia="宋体" w:cs="宋体"/>
        </w:rPr>
        <w:drawing>
          <wp:inline distT="0" distB="0" distL="114300" distR="114300">
            <wp:extent cx="4772025" cy="4381500"/>
            <wp:effectExtent l="0" t="0" r="9525" b="0"/>
            <wp:docPr id="6"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2"/>
                    <pic:cNvPicPr>
                      <a:picLocks noChangeAspect="1"/>
                    </pic:cNvPicPr>
                  </pic:nvPicPr>
                  <pic:blipFill>
                    <a:blip r:embed="rId11"/>
                    <a:stretch>
                      <a:fillRect/>
                    </a:stretch>
                  </pic:blipFill>
                  <pic:spPr>
                    <a:xfrm>
                      <a:off x="0" y="0"/>
                      <a:ext cx="4772025" cy="4381500"/>
                    </a:xfrm>
                    <a:prstGeom prst="rect">
                      <a:avLst/>
                    </a:prstGeom>
                    <a:noFill/>
                    <a:ln>
                      <a:noFill/>
                    </a:ln>
                  </pic:spPr>
                </pic:pic>
              </a:graphicData>
            </a:graphic>
          </wp:inline>
        </w:drawing>
      </w:r>
    </w:p>
    <w:p>
      <w:pPr>
        <w:numPr>
          <w:ilvl w:val="0"/>
          <w:numId w:val="0"/>
        </w:numPr>
        <w:spacing w:line="360" w:lineRule="auto"/>
        <w:ind w:right="0" w:rightChars="0"/>
        <w:jc w:val="both"/>
        <w:outlineLvl w:val="1"/>
        <w:rPr>
          <w:rFonts w:hint="eastAsia" w:ascii="宋体" w:hAnsi="宋体" w:eastAsia="宋体" w:cs="宋体"/>
          <w:lang w:val="en-US" w:eastAsia="zh-CN"/>
        </w:rPr>
      </w:pPr>
      <w:bookmarkStart w:id="10" w:name="_Toc2705"/>
      <w:r>
        <w:rPr>
          <w:rFonts w:hint="eastAsia" w:ascii="宋体" w:hAnsi="宋体" w:eastAsia="宋体" w:cs="宋体"/>
          <w:b/>
          <w:bCs/>
          <w:lang w:val="en-US" w:eastAsia="zh-CN"/>
        </w:rPr>
        <w:t>三、企业质量诚信</w:t>
      </w:r>
      <w:bookmarkEnd w:id="10"/>
      <w:r>
        <w:rPr>
          <w:rFonts w:hint="eastAsia" w:ascii="宋体" w:hAnsi="宋体" w:eastAsia="宋体" w:cs="宋体"/>
          <w:lang w:val="en-US" w:eastAsia="zh-CN"/>
        </w:rPr>
        <w:t xml:space="preserve"> </w:t>
      </w:r>
    </w:p>
    <w:p>
      <w:pPr>
        <w:numPr>
          <w:ilvl w:val="0"/>
          <w:numId w:val="0"/>
        </w:numPr>
        <w:spacing w:line="360" w:lineRule="auto"/>
        <w:ind w:right="0" w:rightChars="0"/>
        <w:jc w:val="both"/>
        <w:outlineLvl w:val="2"/>
        <w:rPr>
          <w:rFonts w:hint="eastAsia" w:ascii="宋体" w:hAnsi="宋体" w:eastAsia="宋体" w:cs="宋体"/>
          <w:lang w:val="en-US" w:eastAsia="zh-CN"/>
        </w:rPr>
      </w:pPr>
      <w:bookmarkStart w:id="11" w:name="_Toc18876"/>
      <w:r>
        <w:rPr>
          <w:rFonts w:hint="eastAsia" w:ascii="宋体" w:hAnsi="宋体" w:eastAsia="宋体" w:cs="宋体"/>
          <w:lang w:val="en-US" w:eastAsia="zh-CN"/>
        </w:rPr>
        <w:t>3.1 质量诚信管理</w:t>
      </w:r>
      <w:bookmarkEnd w:id="11"/>
      <w:r>
        <w:rPr>
          <w:rFonts w:hint="eastAsia" w:ascii="宋体" w:hAnsi="宋体" w:eastAsia="宋体" w:cs="宋体"/>
          <w:lang w:val="en-US" w:eastAsia="zh-CN"/>
        </w:rPr>
        <w:t xml:space="preserve"> </w:t>
      </w:r>
    </w:p>
    <w:p>
      <w:pPr>
        <w:numPr>
          <w:ilvl w:val="0"/>
          <w:numId w:val="0"/>
        </w:numPr>
        <w:spacing w:line="360" w:lineRule="auto"/>
        <w:ind w:right="0" w:rightChars="0" w:firstLine="440" w:firstLineChars="200"/>
        <w:jc w:val="both"/>
        <w:rPr>
          <w:rFonts w:hint="eastAsia" w:ascii="宋体" w:hAnsi="宋体" w:eastAsia="宋体" w:cs="宋体"/>
          <w:lang w:val="en-US" w:eastAsia="zh-CN"/>
        </w:rPr>
      </w:pPr>
      <w:r>
        <w:rPr>
          <w:rFonts w:hint="eastAsia" w:ascii="宋体" w:hAnsi="宋体" w:eastAsia="宋体" w:cs="宋体"/>
          <w:lang w:val="en-US" w:eastAsia="zh-CN"/>
        </w:rPr>
        <w:t xml:space="preserve">公司建立了质量诚信管理制度，覆盖了设计、采购、生产、检验、流通、售后服务全过程的质量诚信制度，加强员工质量责任感和质量诚信意识的教育，开展质量诚信承诺活动。 </w:t>
      </w:r>
    </w:p>
    <w:p>
      <w:pPr>
        <w:numPr>
          <w:ilvl w:val="0"/>
          <w:numId w:val="0"/>
        </w:numPr>
        <w:spacing w:line="360" w:lineRule="auto"/>
        <w:ind w:right="0" w:rightChars="0" w:firstLine="440" w:firstLineChars="200"/>
        <w:jc w:val="both"/>
        <w:rPr>
          <w:rFonts w:hint="eastAsia" w:ascii="宋体" w:hAnsi="宋体" w:eastAsia="宋体" w:cs="宋体"/>
          <w:lang w:val="en-US" w:eastAsia="zh-CN"/>
        </w:rPr>
      </w:pPr>
      <w:r>
        <w:rPr>
          <w:rFonts w:hint="eastAsia" w:ascii="宋体" w:hAnsi="宋体" w:eastAsia="宋体" w:cs="宋体"/>
          <w:lang w:val="en-US" w:eastAsia="zh-CN"/>
        </w:rPr>
        <w:t xml:space="preserve">公司建立了重大质量事件主动报告制度和产品质量追溯制度，保证产品质量安全，切实 履行企业质量诚信主体责任。 </w:t>
      </w:r>
    </w:p>
    <w:p>
      <w:pPr>
        <w:numPr>
          <w:ilvl w:val="0"/>
          <w:numId w:val="0"/>
        </w:numPr>
        <w:spacing w:line="360" w:lineRule="auto"/>
        <w:ind w:right="0" w:rightChars="0" w:firstLine="440" w:firstLineChars="200"/>
        <w:jc w:val="both"/>
        <w:rPr>
          <w:rFonts w:hint="eastAsia" w:ascii="宋体" w:hAnsi="宋体" w:eastAsia="宋体" w:cs="宋体"/>
          <w:lang w:val="en-US" w:eastAsia="zh-CN"/>
        </w:rPr>
      </w:pPr>
      <w:r>
        <w:rPr>
          <w:rFonts w:hint="eastAsia" w:ascii="宋体" w:hAnsi="宋体" w:eastAsia="宋体" w:cs="宋体"/>
          <w:lang w:val="en-US" w:eastAsia="zh-CN"/>
        </w:rPr>
        <w:t>以企业质量诚信体系建设为载体，以质量法制意识和质量诚信意识教育为主要内容，加 强企业质量诚信文化宣传和教育，引导和推动公司员工弘扬诚信传统美德，增加法制意识、责任意识、质量诚信意识。</w:t>
      </w:r>
    </w:p>
    <w:p>
      <w:pPr>
        <w:numPr>
          <w:ilvl w:val="0"/>
          <w:numId w:val="0"/>
        </w:numPr>
        <w:spacing w:line="360" w:lineRule="auto"/>
        <w:ind w:right="0" w:rightChars="0" w:firstLine="440" w:firstLineChars="200"/>
        <w:jc w:val="both"/>
        <w:rPr>
          <w:rFonts w:hint="eastAsia" w:ascii="宋体" w:hAnsi="宋体" w:eastAsia="宋体" w:cs="宋体"/>
          <w:lang w:val="en-US" w:eastAsia="zh-CN"/>
        </w:rPr>
      </w:pPr>
      <w:r>
        <w:rPr>
          <w:rFonts w:hint="eastAsia" w:ascii="宋体" w:hAnsi="宋体" w:eastAsia="宋体" w:cs="宋体"/>
          <w:lang w:val="en-US" w:eastAsia="zh-CN"/>
        </w:rPr>
        <w:t xml:space="preserve">我们对相关方的诚信经营理念是：公司对客户的诚信——公司与客户的关系不仅仅只是 供求的关系，而是长期合作、相互促进的战略伙伴关系。公司积极为客户出谋划策，公司与 客户保护良好关系，定期组织技术人员、营销人员开展回访和调查工作，承担客户售后服务 工作和各种咨询，解决各种技术问题，共同寻找业务的增长点并助其实现。 </w:t>
      </w:r>
    </w:p>
    <w:p>
      <w:pPr>
        <w:numPr>
          <w:ilvl w:val="0"/>
          <w:numId w:val="0"/>
        </w:numPr>
        <w:spacing w:line="360" w:lineRule="auto"/>
        <w:ind w:right="0" w:rightChars="0" w:firstLine="440" w:firstLineChars="200"/>
        <w:jc w:val="both"/>
        <w:rPr>
          <w:rFonts w:hint="eastAsia" w:ascii="宋体" w:hAnsi="宋体" w:eastAsia="宋体" w:cs="宋体"/>
          <w:lang w:val="en-US" w:eastAsia="zh-CN"/>
        </w:rPr>
      </w:pPr>
      <w:r>
        <w:rPr>
          <w:rFonts w:hint="eastAsia" w:ascii="宋体" w:hAnsi="宋体" w:eastAsia="宋体" w:cs="宋体"/>
          <w:lang w:val="en-US" w:eastAsia="zh-CN"/>
        </w:rPr>
        <w:t xml:space="preserve">对供应商的诚信——公司始终将供应商视为利益共同体，作为重要资源进行管理。按 质量、环境及安全生产标准化的要求，形成了一套完善、有效的供应商调查、选择、评 价、控制的供方评定体系，建立了一批稳定、可靠的合格供方，确保供方在质量、成本、交期等方面符合公司要求。同时公司充分考虑供应商利益，严格遵守双方签定的协议，实行准时付款制，促进了双方共赢的合作。公司注重与供应商的沟通与交流，适时邀请供应商代表与公司高层进行面对面交流，并与供应商技术人员建立了良好工作合作关系，双方一起解决 一些技术、质量问题，以提高产品质量。 </w:t>
      </w:r>
    </w:p>
    <w:p>
      <w:pPr>
        <w:numPr>
          <w:ilvl w:val="0"/>
          <w:numId w:val="0"/>
        </w:numPr>
        <w:spacing w:line="360" w:lineRule="auto"/>
        <w:ind w:right="0" w:rightChars="0" w:firstLine="440" w:firstLineChars="200"/>
        <w:jc w:val="both"/>
        <w:rPr>
          <w:rFonts w:hint="eastAsia" w:ascii="宋体" w:hAnsi="宋体" w:eastAsia="宋体" w:cs="宋体"/>
          <w:lang w:val="en-US" w:eastAsia="zh-CN"/>
        </w:rPr>
      </w:pPr>
      <w:r>
        <w:rPr>
          <w:rFonts w:hint="eastAsia" w:ascii="宋体" w:hAnsi="宋体" w:eastAsia="宋体" w:cs="宋体"/>
          <w:lang w:val="en-US" w:eastAsia="zh-CN"/>
        </w:rPr>
        <w:t xml:space="preserve">对社会相关方诚信——公司始终坚持与各相关方保持紧密联系，充分利用各相关方的资源优势，不断改进，以打造新的利润增长点。一方面，依法纳税，及时还贷，诚信经营，提 供丰富的就业机会，促进地方经济发展；另一方面，积极承担社会责任，投身公益慈善事业， 并引导员工积极参与。 </w:t>
      </w:r>
    </w:p>
    <w:p>
      <w:pPr>
        <w:numPr>
          <w:ilvl w:val="0"/>
          <w:numId w:val="0"/>
        </w:numPr>
        <w:spacing w:line="360" w:lineRule="auto"/>
        <w:ind w:right="0" w:rightChars="0"/>
        <w:jc w:val="both"/>
        <w:rPr>
          <w:rFonts w:hint="eastAsia" w:ascii="宋体" w:hAnsi="宋体" w:eastAsia="宋体" w:cs="宋体"/>
          <w:lang w:val="en-US" w:eastAsia="zh-CN"/>
        </w:rPr>
      </w:pPr>
      <w:r>
        <w:rPr>
          <w:rFonts w:hint="eastAsia" w:ascii="宋体" w:hAnsi="宋体" w:eastAsia="宋体" w:cs="宋体"/>
          <w:lang w:val="en-US" w:eastAsia="zh-CN"/>
        </w:rPr>
        <w:t xml:space="preserve">3.1.1 对用户诚信 </w:t>
      </w:r>
    </w:p>
    <w:p>
      <w:pPr>
        <w:numPr>
          <w:ilvl w:val="0"/>
          <w:numId w:val="0"/>
        </w:numPr>
        <w:spacing w:line="360" w:lineRule="auto"/>
        <w:ind w:right="0" w:rightChars="0" w:firstLine="440" w:firstLineChars="200"/>
        <w:jc w:val="both"/>
        <w:rPr>
          <w:rFonts w:hint="eastAsia" w:ascii="宋体" w:hAnsi="宋体" w:eastAsia="宋体" w:cs="宋体"/>
          <w:lang w:val="en-US" w:eastAsia="zh-CN"/>
        </w:rPr>
      </w:pPr>
      <w:r>
        <w:rPr>
          <w:rFonts w:hint="eastAsia" w:ascii="宋体" w:hAnsi="宋体" w:eastAsia="宋体" w:cs="宋体"/>
          <w:lang w:val="en-US" w:eastAsia="zh-CN"/>
        </w:rPr>
        <w:t xml:space="preserve">公司承诺用户是我们的衣食父母，加强新产品设计质量与试验，坚持优化完善过程质量管控，不断强化并提升全员精品质量意识，不断投入技改项目，认真、规范执行各项检验准则，努力做到以高品质的产品、服务奉献给全球用户。公司不断坚持的制造能力和试验能力 建设，使得产品质量每一个环节都得以充分的控制，切实履行了对用户诚信。 </w:t>
      </w:r>
    </w:p>
    <w:p>
      <w:pPr>
        <w:numPr>
          <w:ilvl w:val="0"/>
          <w:numId w:val="0"/>
        </w:numPr>
        <w:spacing w:line="360" w:lineRule="auto"/>
        <w:ind w:right="0" w:rightChars="0" w:firstLine="440" w:firstLineChars="200"/>
        <w:jc w:val="both"/>
        <w:rPr>
          <w:rFonts w:hint="eastAsia" w:ascii="宋体" w:hAnsi="宋体" w:eastAsia="宋体" w:cs="宋体"/>
          <w:lang w:val="en-US" w:eastAsia="zh-CN"/>
        </w:rPr>
      </w:pPr>
      <w:r>
        <w:rPr>
          <w:rFonts w:hint="eastAsia" w:ascii="宋体" w:hAnsi="宋体" w:eastAsia="宋体" w:cs="宋体"/>
          <w:lang w:val="en-US" w:eastAsia="zh-CN"/>
        </w:rPr>
        <w:t xml:space="preserve">公司重视当前和以往顾客信息的应用，当前信息包括业务员、客户收集反馈信息，市场 调研人员、领导走访市场得到的信息以及参加展会、行业会议收集的客户信息等；以往的信 息包括顾客投诉、顾客满意度调查结果等。营销中心定期将收集到的顾客信息进行统计和分析，并在营销策略的制定、新顾客的开发、产品和服务改进等方面得到充分应用。 </w:t>
      </w:r>
    </w:p>
    <w:p>
      <w:pPr>
        <w:numPr>
          <w:ilvl w:val="0"/>
          <w:numId w:val="0"/>
        </w:numPr>
        <w:spacing w:line="360" w:lineRule="auto"/>
        <w:ind w:right="0" w:rightChars="0"/>
        <w:jc w:val="both"/>
        <w:rPr>
          <w:rFonts w:hint="eastAsia" w:ascii="宋体" w:hAnsi="宋体" w:eastAsia="宋体" w:cs="宋体"/>
          <w:lang w:val="en-US" w:eastAsia="zh-CN"/>
        </w:rPr>
      </w:pPr>
      <w:r>
        <w:rPr>
          <w:rFonts w:hint="eastAsia" w:ascii="宋体" w:hAnsi="宋体" w:eastAsia="宋体" w:cs="宋体"/>
          <w:lang w:val="en-US" w:eastAsia="zh-CN"/>
        </w:rPr>
        <w:t xml:space="preserve">3.1.2 对供应商的诚信 </w:t>
      </w:r>
    </w:p>
    <w:p>
      <w:pPr>
        <w:numPr>
          <w:ilvl w:val="0"/>
          <w:numId w:val="0"/>
        </w:numPr>
        <w:spacing w:line="360" w:lineRule="auto"/>
        <w:ind w:right="0" w:rightChars="0" w:firstLine="440" w:firstLineChars="200"/>
        <w:jc w:val="both"/>
        <w:rPr>
          <w:rFonts w:hint="eastAsia" w:ascii="宋体" w:hAnsi="宋体" w:eastAsia="宋体" w:cs="宋体"/>
          <w:lang w:val="en-US" w:eastAsia="zh-CN"/>
        </w:rPr>
      </w:pPr>
      <w:r>
        <w:rPr>
          <w:rFonts w:hint="eastAsia" w:ascii="宋体" w:hAnsi="宋体" w:eastAsia="宋体" w:cs="宋体"/>
          <w:lang w:val="en-US" w:eastAsia="zh-CN"/>
        </w:rPr>
        <w:t>公司注重与供应商的合作共赢，帮助供应商持续改进，利益共享。当供应商供应的产品质量出现问题时，公司不是一昧的将其淘汰，而是组织销售部、生产部、技术开发部等相关部门人员，协助供应商找出问题并持续改进。同时，为激励供应商，不会独占供应商因成本下降 引起价格下降所增加的利润空间。</w:t>
      </w:r>
    </w:p>
    <w:p>
      <w:pPr>
        <w:numPr>
          <w:ilvl w:val="0"/>
          <w:numId w:val="0"/>
        </w:numPr>
        <w:spacing w:line="360" w:lineRule="auto"/>
        <w:ind w:right="0" w:rightChars="0"/>
        <w:jc w:val="both"/>
        <w:rPr>
          <w:rFonts w:hint="eastAsia" w:ascii="宋体" w:hAnsi="宋体" w:eastAsia="宋体" w:cs="宋体"/>
          <w:lang w:val="en-US" w:eastAsia="zh-CN"/>
        </w:rPr>
      </w:pPr>
      <w:r>
        <w:rPr>
          <w:rFonts w:hint="eastAsia" w:ascii="宋体" w:hAnsi="宋体" w:eastAsia="宋体" w:cs="宋体"/>
          <w:lang w:val="en-US" w:eastAsia="zh-CN"/>
        </w:rPr>
        <w:t xml:space="preserve">3.1.3 对员工的诚信 </w:t>
      </w:r>
    </w:p>
    <w:p>
      <w:pPr>
        <w:numPr>
          <w:ilvl w:val="0"/>
          <w:numId w:val="0"/>
        </w:numPr>
        <w:spacing w:line="360" w:lineRule="auto"/>
        <w:ind w:right="0" w:rightChars="0" w:firstLine="440" w:firstLineChars="200"/>
        <w:jc w:val="both"/>
        <w:rPr>
          <w:rFonts w:hint="eastAsia" w:ascii="宋体" w:hAnsi="宋体" w:eastAsia="宋体" w:cs="宋体"/>
          <w:lang w:val="en-US" w:eastAsia="zh-CN"/>
        </w:rPr>
      </w:pPr>
      <w:r>
        <w:rPr>
          <w:rFonts w:hint="eastAsia" w:ascii="宋体" w:hAnsi="宋体" w:eastAsia="宋体" w:cs="宋体"/>
          <w:lang w:val="en-US" w:eastAsia="zh-CN"/>
        </w:rPr>
        <w:t xml:space="preserve">公司提倡“以人为本”，促进员工的全面进步，满足员工的发展需求，维护员工的根本 利益，努力建设“和谐”劳动关系，打造和谐稳定的用工机制和环境，实现企业发展与员工 发展相统一、企业进步与个人价值提升相融合。 </w:t>
      </w:r>
    </w:p>
    <w:p>
      <w:pPr>
        <w:numPr>
          <w:ilvl w:val="0"/>
          <w:numId w:val="0"/>
        </w:numPr>
        <w:spacing w:line="360" w:lineRule="auto"/>
        <w:ind w:right="0" w:rightChars="0" w:firstLine="440" w:firstLineChars="200"/>
        <w:jc w:val="both"/>
        <w:rPr>
          <w:rFonts w:hint="eastAsia" w:ascii="宋体" w:hAnsi="宋体" w:eastAsia="宋体" w:cs="宋体"/>
          <w:lang w:val="en-US" w:eastAsia="zh-CN"/>
        </w:rPr>
      </w:pPr>
      <w:r>
        <w:rPr>
          <w:rFonts w:hint="eastAsia" w:ascii="宋体" w:hAnsi="宋体" w:eastAsia="宋体" w:cs="宋体"/>
          <w:lang w:val="en-US" w:eastAsia="zh-CN"/>
        </w:rPr>
        <w:t xml:space="preserve">公司大力推行质量意识教育，贯彻质量强企信念，不断加强员工的职业技能培训，通过质量与绩效挂钩，满足员工成长和企业发展需求。 </w:t>
      </w:r>
    </w:p>
    <w:p>
      <w:pPr>
        <w:numPr>
          <w:ilvl w:val="0"/>
          <w:numId w:val="0"/>
        </w:numPr>
        <w:spacing w:line="360" w:lineRule="auto"/>
        <w:ind w:right="0" w:rightChars="0"/>
        <w:jc w:val="both"/>
        <w:rPr>
          <w:rFonts w:hint="eastAsia" w:ascii="宋体" w:hAnsi="宋体" w:eastAsia="宋体" w:cs="宋体"/>
          <w:lang w:val="en-US" w:eastAsia="zh-CN"/>
        </w:rPr>
      </w:pPr>
      <w:r>
        <w:rPr>
          <w:rFonts w:hint="eastAsia" w:ascii="宋体" w:hAnsi="宋体" w:eastAsia="宋体" w:cs="宋体"/>
          <w:lang w:val="en-US" w:eastAsia="zh-CN"/>
        </w:rPr>
        <w:t xml:space="preserve">3.1.4 对社会相关方诚信 </w:t>
      </w:r>
    </w:p>
    <w:p>
      <w:pPr>
        <w:numPr>
          <w:ilvl w:val="0"/>
          <w:numId w:val="0"/>
        </w:numPr>
        <w:spacing w:line="360" w:lineRule="auto"/>
        <w:ind w:right="0" w:rightChars="0" w:firstLine="440" w:firstLineChars="200"/>
        <w:jc w:val="both"/>
        <w:rPr>
          <w:rFonts w:hint="eastAsia" w:ascii="宋体" w:hAnsi="宋体" w:eastAsia="宋体" w:cs="宋体"/>
          <w:lang w:val="en-US" w:eastAsia="zh-CN"/>
        </w:rPr>
      </w:pPr>
      <w:r>
        <w:rPr>
          <w:rFonts w:hint="eastAsia" w:ascii="宋体" w:hAnsi="宋体" w:eastAsia="宋体" w:cs="宋体"/>
          <w:lang w:val="en-US" w:eastAsia="zh-CN"/>
        </w:rPr>
        <w:t xml:space="preserve">公司一直以来，关注公共事业和生态，重视社会责任和环境保等方面的工作，被评为浙江省科技型中小企业、安全生产标准化三级企业等荣誉。 </w:t>
      </w:r>
    </w:p>
    <w:p>
      <w:pPr>
        <w:numPr>
          <w:ilvl w:val="0"/>
          <w:numId w:val="0"/>
        </w:numPr>
        <w:spacing w:line="360" w:lineRule="auto"/>
        <w:ind w:right="0" w:rightChars="0"/>
        <w:jc w:val="both"/>
        <w:outlineLvl w:val="2"/>
        <w:rPr>
          <w:rFonts w:hint="eastAsia" w:ascii="宋体" w:hAnsi="宋体" w:eastAsia="宋体" w:cs="宋体"/>
          <w:lang w:val="en-US" w:eastAsia="zh-CN"/>
        </w:rPr>
      </w:pPr>
      <w:bookmarkStart w:id="12" w:name="_Toc7627"/>
      <w:r>
        <w:rPr>
          <w:rFonts w:hint="eastAsia" w:ascii="宋体" w:hAnsi="宋体" w:eastAsia="宋体" w:cs="宋体"/>
          <w:lang w:val="en-US" w:eastAsia="zh-CN"/>
        </w:rPr>
        <w:t>3.2 质量文化建设</w:t>
      </w:r>
      <w:bookmarkEnd w:id="12"/>
      <w:r>
        <w:rPr>
          <w:rFonts w:hint="eastAsia" w:ascii="宋体" w:hAnsi="宋体" w:eastAsia="宋体" w:cs="宋体"/>
          <w:lang w:val="en-US" w:eastAsia="zh-CN"/>
        </w:rPr>
        <w:t xml:space="preserve"> </w:t>
      </w:r>
    </w:p>
    <w:p>
      <w:pPr>
        <w:numPr>
          <w:ilvl w:val="0"/>
          <w:numId w:val="0"/>
        </w:numPr>
        <w:spacing w:line="360" w:lineRule="auto"/>
        <w:ind w:right="0" w:rightChars="0"/>
        <w:jc w:val="both"/>
        <w:rPr>
          <w:rFonts w:hint="eastAsia" w:ascii="宋体" w:hAnsi="宋体" w:eastAsia="宋体" w:cs="宋体"/>
          <w:lang w:val="en-US" w:eastAsia="zh-CN"/>
        </w:rPr>
      </w:pPr>
      <w:r>
        <w:rPr>
          <w:rFonts w:hint="eastAsia" w:ascii="宋体" w:hAnsi="宋体" w:eastAsia="宋体" w:cs="宋体"/>
          <w:lang w:val="en-US" w:eastAsia="zh-CN"/>
        </w:rPr>
        <w:t xml:space="preserve">3.2.1 质量文化概述 </w:t>
      </w:r>
    </w:p>
    <w:p>
      <w:pPr>
        <w:numPr>
          <w:ilvl w:val="0"/>
          <w:numId w:val="0"/>
        </w:numPr>
        <w:spacing w:line="360" w:lineRule="auto"/>
        <w:ind w:right="0" w:rightChars="0" w:firstLine="440" w:firstLineChars="200"/>
        <w:jc w:val="both"/>
        <w:rPr>
          <w:rFonts w:hint="eastAsia" w:ascii="宋体" w:hAnsi="宋体" w:eastAsia="宋体" w:cs="宋体"/>
          <w:lang w:val="en-US" w:eastAsia="zh-CN"/>
        </w:rPr>
      </w:pPr>
      <w:r>
        <w:rPr>
          <w:rFonts w:hint="eastAsia" w:ascii="宋体" w:hAnsi="宋体" w:eastAsia="宋体" w:cs="宋体"/>
          <w:lang w:val="en-US" w:eastAsia="zh-CN"/>
        </w:rPr>
        <w:t xml:space="preserve">公司经过长时间的积累沉淀，形成了自身特色的企业文化氛围，公司顺应时势发展新需要，不断审视更新公司文化内涵，最终提炼出山海纺织企业文化核心内涵， 高举“质量、交付、成本、研发”的伟大旗帜。 </w:t>
      </w:r>
    </w:p>
    <w:p>
      <w:pPr>
        <w:numPr>
          <w:ilvl w:val="0"/>
          <w:numId w:val="0"/>
        </w:numPr>
        <w:spacing w:line="360" w:lineRule="auto"/>
        <w:ind w:right="0" w:rightChars="0"/>
        <w:jc w:val="both"/>
        <w:rPr>
          <w:rFonts w:hint="eastAsia" w:ascii="宋体" w:hAnsi="宋体" w:eastAsia="宋体" w:cs="宋体"/>
          <w:lang w:val="en-US" w:eastAsia="zh-CN"/>
        </w:rPr>
      </w:pPr>
      <w:r>
        <w:rPr>
          <w:rFonts w:hint="eastAsia" w:ascii="宋体" w:hAnsi="宋体" w:eastAsia="宋体" w:cs="宋体"/>
          <w:lang w:val="en-US" w:eastAsia="zh-CN"/>
        </w:rPr>
        <w:t xml:space="preserve">3.2.2 质量文化氛围营造 </w:t>
      </w:r>
    </w:p>
    <w:p>
      <w:pPr>
        <w:numPr>
          <w:ilvl w:val="0"/>
          <w:numId w:val="0"/>
        </w:numPr>
        <w:spacing w:line="360" w:lineRule="auto"/>
        <w:ind w:right="0" w:rightChars="0" w:firstLine="440" w:firstLineChars="200"/>
        <w:jc w:val="both"/>
        <w:rPr>
          <w:rFonts w:hint="eastAsia" w:ascii="宋体" w:hAnsi="宋体" w:eastAsia="宋体" w:cs="宋体"/>
          <w:lang w:val="en-US" w:eastAsia="zh-CN"/>
        </w:rPr>
      </w:pPr>
      <w:r>
        <w:rPr>
          <w:rFonts w:hint="eastAsia" w:ascii="宋体" w:hAnsi="宋体" w:eastAsia="宋体" w:cs="宋体"/>
          <w:lang w:val="en-US" w:eastAsia="zh-CN"/>
        </w:rPr>
        <w:t xml:space="preserve">公司站在企业发展战略和全局的高度，公司坚持各级组织、员工及合作伙伴之间的双向 沟通，并通过各级会议、员工沟通会、员工 合理化建议邮箱等方法，充分听取意见及建议， 尊重员工的合理化建议，在沟通中不断发现问题， 在交流中审视公司各项政策并进行适当的修正，进而促使公司各级组织与员工认识的有效统一。 </w:t>
      </w:r>
    </w:p>
    <w:p>
      <w:pPr>
        <w:numPr>
          <w:ilvl w:val="0"/>
          <w:numId w:val="0"/>
        </w:numPr>
        <w:spacing w:line="360" w:lineRule="auto"/>
        <w:ind w:right="0" w:rightChars="0"/>
        <w:jc w:val="both"/>
        <w:rPr>
          <w:rFonts w:hint="eastAsia" w:ascii="宋体" w:hAnsi="宋体" w:eastAsia="宋体" w:cs="宋体"/>
          <w:lang w:val="en-US" w:eastAsia="zh-CN"/>
        </w:rPr>
      </w:pPr>
      <w:r>
        <w:rPr>
          <w:rFonts w:hint="eastAsia" w:ascii="宋体" w:hAnsi="宋体" w:eastAsia="宋体" w:cs="宋体"/>
          <w:lang w:val="en-US" w:eastAsia="zh-CN"/>
        </w:rPr>
        <w:t xml:space="preserve">3.2.3 质量教育和培训 </w:t>
      </w:r>
    </w:p>
    <w:p>
      <w:pPr>
        <w:numPr>
          <w:ilvl w:val="0"/>
          <w:numId w:val="0"/>
        </w:numPr>
        <w:spacing w:line="360" w:lineRule="auto"/>
        <w:ind w:right="0" w:rightChars="0" w:firstLine="440" w:firstLineChars="200"/>
        <w:jc w:val="both"/>
        <w:rPr>
          <w:rFonts w:hint="eastAsia" w:ascii="宋体" w:hAnsi="宋体" w:eastAsia="宋体" w:cs="宋体"/>
          <w:lang w:val="en-US" w:eastAsia="zh-CN"/>
        </w:rPr>
      </w:pPr>
      <w:r>
        <w:rPr>
          <w:rFonts w:hint="eastAsia" w:ascii="宋体" w:hAnsi="宋体" w:eastAsia="宋体" w:cs="宋体"/>
          <w:lang w:val="en-US" w:eastAsia="zh-CN"/>
        </w:rPr>
        <w:t>公司根据确定的质量培训计划，通过资源保障，严格执行质量教育培训制度，确保质量培训实施过程管理的有效性和可控性。公司培训的方式主要有内部培训，送外培训，班组教育培训等。 公司建立完善的质量管理体系，引进先进的质量管理工具，通过对信息化软硬件的投入及有效运维，按照公司的各类数据和信息分类，不断建立与完善各类信息库，各业务部门借助信息化工具，实现对数据和信息的获取、分析、发布与传递。</w:t>
      </w:r>
    </w:p>
    <w:p>
      <w:pPr>
        <w:numPr>
          <w:ilvl w:val="0"/>
          <w:numId w:val="3"/>
        </w:numPr>
        <w:spacing w:line="360" w:lineRule="auto"/>
        <w:ind w:right="0" w:rightChars="0"/>
        <w:jc w:val="both"/>
        <w:outlineLvl w:val="1"/>
        <w:rPr>
          <w:rFonts w:hint="eastAsia" w:ascii="宋体" w:hAnsi="宋体" w:eastAsia="宋体" w:cs="宋体"/>
          <w:lang w:val="en-US" w:eastAsia="zh-CN"/>
        </w:rPr>
      </w:pPr>
      <w:bookmarkStart w:id="13" w:name="_Toc30236"/>
      <w:r>
        <w:rPr>
          <w:rFonts w:hint="eastAsia" w:ascii="宋体" w:hAnsi="宋体" w:eastAsia="宋体" w:cs="宋体"/>
          <w:b/>
          <w:bCs/>
          <w:lang w:val="en-US" w:eastAsia="zh-CN"/>
        </w:rPr>
        <w:t>企业质量基础</w:t>
      </w:r>
      <w:bookmarkEnd w:id="13"/>
      <w:r>
        <w:rPr>
          <w:rFonts w:hint="eastAsia" w:ascii="宋体" w:hAnsi="宋体" w:eastAsia="宋体" w:cs="宋体"/>
          <w:lang w:val="en-US" w:eastAsia="zh-CN"/>
        </w:rPr>
        <w:t xml:space="preserve"> </w:t>
      </w:r>
    </w:p>
    <w:p>
      <w:pPr>
        <w:numPr>
          <w:ilvl w:val="0"/>
          <w:numId w:val="0"/>
        </w:numPr>
        <w:spacing w:line="360" w:lineRule="auto"/>
        <w:ind w:right="0" w:rightChars="0"/>
        <w:jc w:val="both"/>
        <w:outlineLvl w:val="2"/>
        <w:rPr>
          <w:rFonts w:hint="eastAsia" w:ascii="宋体" w:hAnsi="宋体" w:eastAsia="宋体" w:cs="宋体"/>
          <w:lang w:val="en-US" w:eastAsia="zh-CN"/>
        </w:rPr>
      </w:pPr>
      <w:bookmarkStart w:id="14" w:name="_Toc5149"/>
      <w:r>
        <w:rPr>
          <w:rFonts w:hint="eastAsia" w:ascii="宋体" w:hAnsi="宋体" w:eastAsia="宋体" w:cs="宋体"/>
          <w:lang w:val="en-US" w:eastAsia="zh-CN"/>
        </w:rPr>
        <w:t>4.1 企业产品标准</w:t>
      </w:r>
      <w:bookmarkEnd w:id="14"/>
      <w:r>
        <w:rPr>
          <w:rFonts w:hint="eastAsia" w:ascii="宋体" w:hAnsi="宋体" w:eastAsia="宋体" w:cs="宋体"/>
          <w:lang w:val="en-US" w:eastAsia="zh-CN"/>
        </w:rPr>
        <w:t xml:space="preserve"> </w:t>
      </w:r>
    </w:p>
    <w:p>
      <w:pPr>
        <w:numPr>
          <w:ilvl w:val="0"/>
          <w:numId w:val="0"/>
        </w:numPr>
        <w:spacing w:line="360" w:lineRule="auto"/>
        <w:ind w:right="0" w:rightChars="0" w:firstLine="440" w:firstLineChars="200"/>
        <w:jc w:val="both"/>
        <w:rPr>
          <w:rFonts w:hint="eastAsia" w:ascii="宋体" w:hAnsi="宋体" w:eastAsia="宋体" w:cs="宋体"/>
          <w:lang w:val="en-US" w:eastAsia="zh-CN"/>
        </w:rPr>
      </w:pPr>
      <w:r>
        <w:rPr>
          <w:rFonts w:hint="eastAsia" w:ascii="宋体" w:hAnsi="宋体" w:eastAsia="宋体" w:cs="宋体"/>
          <w:lang w:val="en-US" w:eastAsia="zh-CN"/>
        </w:rPr>
        <w:t>公司认真贯彻执行国家、行业、和地方有关标准化的法律、法规、制度，重视研究和跟踪国际标准，所有产品均执行现行有效的国家、行业标准，企业标准。</w:t>
      </w:r>
    </w:p>
    <w:p>
      <w:pPr>
        <w:numPr>
          <w:ilvl w:val="0"/>
          <w:numId w:val="0"/>
        </w:numPr>
        <w:spacing w:line="360" w:lineRule="auto"/>
        <w:ind w:right="0" w:rightChars="0"/>
        <w:jc w:val="both"/>
        <w:outlineLvl w:val="2"/>
        <w:rPr>
          <w:rFonts w:hint="eastAsia" w:ascii="宋体" w:hAnsi="宋体" w:eastAsia="宋体" w:cs="宋体"/>
          <w:lang w:val="en-US" w:eastAsia="zh-CN"/>
        </w:rPr>
      </w:pPr>
      <w:r>
        <w:rPr>
          <w:rFonts w:hint="eastAsia" w:ascii="宋体" w:hAnsi="宋体" w:eastAsia="宋体" w:cs="宋体"/>
          <w:lang w:val="en-US" w:eastAsia="zh-CN"/>
        </w:rPr>
        <w:t xml:space="preserve"> </w:t>
      </w:r>
      <w:bookmarkStart w:id="15" w:name="_Toc6125"/>
      <w:r>
        <w:rPr>
          <w:rFonts w:hint="eastAsia" w:ascii="宋体" w:hAnsi="宋体" w:eastAsia="宋体" w:cs="宋体"/>
          <w:lang w:val="en-US" w:eastAsia="zh-CN"/>
        </w:rPr>
        <w:t>4.2 企业计量水平</w:t>
      </w:r>
      <w:bookmarkEnd w:id="15"/>
      <w:r>
        <w:rPr>
          <w:rFonts w:hint="eastAsia" w:ascii="宋体" w:hAnsi="宋体" w:eastAsia="宋体" w:cs="宋体"/>
          <w:lang w:val="en-US" w:eastAsia="zh-CN"/>
        </w:rPr>
        <w:t xml:space="preserve"> </w:t>
      </w:r>
    </w:p>
    <w:p>
      <w:pPr>
        <w:numPr>
          <w:ilvl w:val="0"/>
          <w:numId w:val="0"/>
        </w:numPr>
        <w:spacing w:line="360" w:lineRule="auto"/>
        <w:ind w:right="0" w:rightChars="0" w:firstLine="440" w:firstLineChars="200"/>
        <w:jc w:val="both"/>
        <w:rPr>
          <w:rFonts w:hint="eastAsia" w:ascii="宋体" w:hAnsi="宋体" w:eastAsia="宋体" w:cs="宋体"/>
          <w:lang w:val="en-US" w:eastAsia="zh-CN"/>
        </w:rPr>
      </w:pPr>
      <w:r>
        <w:rPr>
          <w:rFonts w:hint="eastAsia" w:ascii="宋体" w:hAnsi="宋体" w:eastAsia="宋体" w:cs="宋体"/>
          <w:lang w:val="en-US" w:eastAsia="zh-CN"/>
        </w:rPr>
        <w:t xml:space="preserve">公司建立了完善的计量检测体系，建立健全各项计量管理制度，严格计量标准，使得计量工作程序化、管理标准化，保证测量设备和测量过程满足顾客、组织和法律法规的要求。 依据 ISO9001 质量管理体系要求，公司于建立了计量管理体系及相关制度，并根据企业的发展需要，配置了研发、生产、检验设备。 </w:t>
      </w:r>
    </w:p>
    <w:p>
      <w:pPr>
        <w:numPr>
          <w:ilvl w:val="0"/>
          <w:numId w:val="0"/>
        </w:numPr>
        <w:spacing w:line="360" w:lineRule="auto"/>
        <w:ind w:right="0" w:rightChars="0"/>
        <w:jc w:val="both"/>
        <w:outlineLvl w:val="2"/>
        <w:rPr>
          <w:rFonts w:hint="eastAsia" w:ascii="宋体" w:hAnsi="宋体" w:eastAsia="宋体" w:cs="宋体"/>
          <w:lang w:val="en-US" w:eastAsia="zh-CN"/>
        </w:rPr>
      </w:pPr>
      <w:bookmarkStart w:id="16" w:name="_Toc15097"/>
      <w:r>
        <w:rPr>
          <w:rFonts w:hint="eastAsia" w:ascii="宋体" w:hAnsi="宋体" w:eastAsia="宋体" w:cs="宋体"/>
          <w:lang w:val="en-US" w:eastAsia="zh-CN"/>
        </w:rPr>
        <w:t>4.3 先进的加工制造工艺水平</w:t>
      </w:r>
      <w:bookmarkEnd w:id="16"/>
      <w:r>
        <w:rPr>
          <w:rFonts w:hint="eastAsia" w:ascii="宋体" w:hAnsi="宋体" w:eastAsia="宋体" w:cs="宋体"/>
          <w:lang w:val="en-US" w:eastAsia="zh-CN"/>
        </w:rPr>
        <w:t xml:space="preserve"> </w:t>
      </w:r>
    </w:p>
    <w:p>
      <w:pPr>
        <w:numPr>
          <w:ilvl w:val="0"/>
          <w:numId w:val="0"/>
        </w:numPr>
        <w:spacing w:line="360" w:lineRule="auto"/>
        <w:ind w:right="0" w:rightChars="0" w:firstLine="440" w:firstLineChars="200"/>
        <w:jc w:val="both"/>
        <w:rPr>
          <w:rFonts w:hint="eastAsia" w:ascii="宋体" w:hAnsi="宋体" w:eastAsia="宋体" w:cs="宋体"/>
          <w:lang w:val="en-US" w:eastAsia="zh-CN"/>
        </w:rPr>
      </w:pPr>
      <w:r>
        <w:rPr>
          <w:rFonts w:hint="eastAsia" w:ascii="宋体" w:hAnsi="宋体" w:eastAsia="宋体" w:cs="宋体"/>
          <w:lang w:val="en-US" w:eastAsia="zh-CN"/>
        </w:rPr>
        <w:t xml:space="preserve">公司先进的工艺装备和检测设备覆盖了产品实现全过程。采用最先进的自动化生产工艺与设备，组织生产，满足不同客户的需求。同时还能做到个性化服务——实行客户订制生产。 公司制造体系突出精益管理思想，生产过程追求零库存，质量追求零缺陷，设备追求无停机，成本追求无浪费，同时，公司将信息技术全面应用于研发和管理，使产品设计能力、设计质量和公司管理水平达到国内同行业中的最高水平。 </w:t>
      </w:r>
    </w:p>
    <w:p>
      <w:pPr>
        <w:numPr>
          <w:ilvl w:val="0"/>
          <w:numId w:val="0"/>
        </w:numPr>
        <w:spacing w:line="360" w:lineRule="auto"/>
        <w:ind w:right="0" w:rightChars="0"/>
        <w:jc w:val="both"/>
        <w:outlineLvl w:val="2"/>
        <w:rPr>
          <w:rFonts w:hint="eastAsia" w:ascii="宋体" w:hAnsi="宋体" w:eastAsia="宋体" w:cs="宋体"/>
          <w:lang w:val="en-US" w:eastAsia="zh-CN"/>
        </w:rPr>
      </w:pPr>
      <w:bookmarkStart w:id="17" w:name="_Toc11919"/>
      <w:r>
        <w:rPr>
          <w:rFonts w:hint="eastAsia" w:ascii="宋体" w:hAnsi="宋体" w:eastAsia="宋体" w:cs="宋体"/>
          <w:lang w:val="en-US" w:eastAsia="zh-CN"/>
        </w:rPr>
        <w:t>4.4 领先的技术</w:t>
      </w:r>
      <w:bookmarkEnd w:id="17"/>
      <w:r>
        <w:rPr>
          <w:rFonts w:hint="eastAsia" w:ascii="宋体" w:hAnsi="宋体" w:eastAsia="宋体" w:cs="宋体"/>
          <w:lang w:val="en-US" w:eastAsia="zh-CN"/>
        </w:rPr>
        <w:t xml:space="preserve"> </w:t>
      </w:r>
    </w:p>
    <w:p>
      <w:pPr>
        <w:numPr>
          <w:ilvl w:val="0"/>
          <w:numId w:val="0"/>
        </w:numPr>
        <w:spacing w:line="360" w:lineRule="auto"/>
        <w:ind w:right="0" w:rightChars="0" w:firstLine="440" w:firstLineChars="200"/>
        <w:jc w:val="both"/>
        <w:rPr>
          <w:rFonts w:hint="eastAsia" w:ascii="宋体" w:hAnsi="宋体" w:eastAsia="宋体" w:cs="宋体"/>
          <w:lang w:val="en-US" w:eastAsia="zh-CN"/>
        </w:rPr>
      </w:pPr>
      <w:r>
        <w:rPr>
          <w:rFonts w:hint="eastAsia" w:ascii="宋体" w:hAnsi="宋体" w:eastAsia="宋体" w:cs="宋体"/>
          <w:lang w:val="en-US" w:eastAsia="zh-CN"/>
        </w:rPr>
        <w:t xml:space="preserve">公司注重知识的积累，识别有利于战略目标实现的技术诀窍和专利，通过专题培训等进行分享和学习，推广应用，形成公司在技术方面的核心竞争力。 </w:t>
      </w:r>
    </w:p>
    <w:p>
      <w:pPr>
        <w:numPr>
          <w:ilvl w:val="0"/>
          <w:numId w:val="0"/>
        </w:numPr>
        <w:spacing w:line="360" w:lineRule="auto"/>
        <w:ind w:right="0" w:rightChars="0"/>
        <w:jc w:val="both"/>
        <w:outlineLvl w:val="2"/>
        <w:rPr>
          <w:rFonts w:hint="eastAsia" w:ascii="宋体" w:hAnsi="宋体" w:eastAsia="宋体" w:cs="宋体"/>
          <w:lang w:val="en-US" w:eastAsia="zh-CN"/>
        </w:rPr>
      </w:pPr>
      <w:bookmarkStart w:id="18" w:name="_Toc17676"/>
      <w:r>
        <w:rPr>
          <w:rFonts w:hint="eastAsia" w:ascii="宋体" w:hAnsi="宋体" w:eastAsia="宋体" w:cs="宋体"/>
          <w:lang w:val="en-US" w:eastAsia="zh-CN"/>
        </w:rPr>
        <w:t>4.5 安全、环境管理情况</w:t>
      </w:r>
      <w:bookmarkEnd w:id="18"/>
      <w:r>
        <w:rPr>
          <w:rFonts w:hint="eastAsia" w:ascii="宋体" w:hAnsi="宋体" w:eastAsia="宋体" w:cs="宋体"/>
          <w:lang w:val="en-US" w:eastAsia="zh-CN"/>
        </w:rPr>
        <w:t xml:space="preserve"> </w:t>
      </w:r>
    </w:p>
    <w:p>
      <w:pPr>
        <w:numPr>
          <w:ilvl w:val="0"/>
          <w:numId w:val="0"/>
        </w:numPr>
        <w:spacing w:line="360" w:lineRule="auto"/>
        <w:ind w:right="0" w:rightChars="0" w:firstLine="440" w:firstLineChars="200"/>
        <w:jc w:val="both"/>
        <w:rPr>
          <w:rFonts w:hint="eastAsia" w:ascii="宋体" w:hAnsi="宋体" w:eastAsia="宋体" w:cs="宋体"/>
          <w:lang w:val="en-US" w:eastAsia="zh-CN"/>
        </w:rPr>
      </w:pPr>
      <w:r>
        <w:rPr>
          <w:rFonts w:hint="eastAsia" w:ascii="宋体" w:hAnsi="宋体" w:eastAsia="宋体" w:cs="宋体"/>
          <w:lang w:val="en-US" w:eastAsia="zh-CN"/>
        </w:rPr>
        <w:t xml:space="preserve">公司十分重视员工的职业健康和工作环境，贯彻 ISO14001 环境管理体系、ISO45001 职业健康安全管理体系。并根据管理体系标准，对设备设施使用可能引起的环境和职业健康安全问题进行有效识别和管理，定期组织安全检查并跟进安全隐患的整改，同时不 断对容易产生环境和职业健康安全问题的基础设施进行改造、升级。 </w:t>
      </w:r>
    </w:p>
    <w:p>
      <w:pPr>
        <w:numPr>
          <w:ilvl w:val="0"/>
          <w:numId w:val="3"/>
        </w:numPr>
        <w:spacing w:line="360" w:lineRule="auto"/>
        <w:ind w:left="0" w:leftChars="0" w:right="0" w:rightChars="0" w:firstLine="0" w:firstLineChars="0"/>
        <w:jc w:val="both"/>
        <w:outlineLvl w:val="1"/>
        <w:rPr>
          <w:rFonts w:hint="eastAsia" w:ascii="宋体" w:hAnsi="宋体" w:eastAsia="宋体" w:cs="宋体"/>
          <w:lang w:val="en-US" w:eastAsia="zh-CN"/>
        </w:rPr>
      </w:pPr>
      <w:bookmarkStart w:id="19" w:name="_Toc22410"/>
      <w:r>
        <w:rPr>
          <w:rFonts w:hint="eastAsia" w:ascii="宋体" w:hAnsi="宋体" w:eastAsia="宋体" w:cs="宋体"/>
          <w:b/>
          <w:bCs/>
          <w:lang w:val="en-US" w:eastAsia="zh-CN"/>
        </w:rPr>
        <w:t>产品质量责任</w:t>
      </w:r>
      <w:bookmarkEnd w:id="19"/>
      <w:r>
        <w:rPr>
          <w:rFonts w:hint="eastAsia" w:ascii="宋体" w:hAnsi="宋体" w:eastAsia="宋体" w:cs="宋体"/>
          <w:lang w:val="en-US" w:eastAsia="zh-CN"/>
        </w:rPr>
        <w:t xml:space="preserve"> </w:t>
      </w:r>
    </w:p>
    <w:p>
      <w:pPr>
        <w:numPr>
          <w:ilvl w:val="0"/>
          <w:numId w:val="0"/>
        </w:numPr>
        <w:spacing w:line="360" w:lineRule="auto"/>
        <w:ind w:leftChars="0" w:right="0" w:rightChars="0"/>
        <w:jc w:val="both"/>
        <w:outlineLvl w:val="2"/>
        <w:rPr>
          <w:rFonts w:hint="eastAsia" w:ascii="宋体" w:hAnsi="宋体" w:eastAsia="宋体" w:cs="宋体"/>
          <w:lang w:val="en-US" w:eastAsia="zh-CN"/>
        </w:rPr>
      </w:pPr>
      <w:bookmarkStart w:id="20" w:name="_Toc24867"/>
      <w:r>
        <w:rPr>
          <w:rFonts w:hint="eastAsia" w:ascii="宋体" w:hAnsi="宋体" w:eastAsia="宋体" w:cs="宋体"/>
          <w:lang w:val="en-US" w:eastAsia="zh-CN"/>
        </w:rPr>
        <w:t>5.1 产品质量承诺</w:t>
      </w:r>
      <w:bookmarkEnd w:id="20"/>
      <w:r>
        <w:rPr>
          <w:rFonts w:hint="eastAsia" w:ascii="宋体" w:hAnsi="宋体" w:eastAsia="宋体" w:cs="宋体"/>
          <w:lang w:val="en-US" w:eastAsia="zh-CN"/>
        </w:rPr>
        <w:t xml:space="preserve"> </w:t>
      </w:r>
    </w:p>
    <w:p>
      <w:pPr>
        <w:numPr>
          <w:ilvl w:val="0"/>
          <w:numId w:val="0"/>
        </w:numPr>
        <w:spacing w:line="360" w:lineRule="auto"/>
        <w:ind w:leftChars="0" w:right="0" w:rightChars="0"/>
        <w:jc w:val="both"/>
        <w:rPr>
          <w:rFonts w:hint="eastAsia" w:ascii="宋体" w:hAnsi="宋体" w:eastAsia="宋体" w:cs="宋体"/>
          <w:lang w:val="en-US" w:eastAsia="zh-CN"/>
        </w:rPr>
      </w:pPr>
      <w:r>
        <w:rPr>
          <w:rFonts w:hint="eastAsia" w:ascii="宋体" w:hAnsi="宋体" w:eastAsia="宋体" w:cs="宋体"/>
          <w:lang w:val="en-US" w:eastAsia="zh-CN"/>
        </w:rPr>
        <w:t xml:space="preserve">5.1.1 售后服务质量水平情况 </w:t>
      </w:r>
    </w:p>
    <w:p>
      <w:pPr>
        <w:numPr>
          <w:ilvl w:val="0"/>
          <w:numId w:val="0"/>
        </w:numPr>
        <w:spacing w:line="360" w:lineRule="auto"/>
        <w:ind w:leftChars="0" w:right="0" w:rightChars="0" w:firstLine="440" w:firstLineChars="200"/>
        <w:jc w:val="both"/>
        <w:rPr>
          <w:rFonts w:hint="eastAsia" w:ascii="宋体" w:hAnsi="宋体" w:eastAsia="宋体" w:cs="宋体"/>
          <w:lang w:val="en-US" w:eastAsia="zh-CN"/>
        </w:rPr>
      </w:pPr>
      <w:r>
        <w:rPr>
          <w:rFonts w:hint="eastAsia" w:ascii="宋体" w:hAnsi="宋体" w:eastAsia="宋体" w:cs="宋体"/>
          <w:lang w:val="en-US" w:eastAsia="zh-CN"/>
        </w:rPr>
        <w:t>公司始终强化市场拓展力度，完善营销网点布局，形成了覆盖全国省、市、县的三级销售网络体系，能为客户及时提供全方位的产品服务、招投标服务、新产品推广服务和售后服务工作。</w:t>
      </w:r>
    </w:p>
    <w:p>
      <w:pPr>
        <w:numPr>
          <w:ilvl w:val="0"/>
          <w:numId w:val="0"/>
        </w:numPr>
        <w:spacing w:line="360" w:lineRule="auto"/>
        <w:ind w:right="0" w:rightChars="0"/>
        <w:jc w:val="both"/>
        <w:outlineLvl w:val="2"/>
        <w:rPr>
          <w:rFonts w:hint="eastAsia" w:ascii="宋体" w:hAnsi="宋体" w:eastAsia="宋体" w:cs="宋体"/>
          <w:lang w:val="en-US" w:eastAsia="zh-CN"/>
        </w:rPr>
      </w:pPr>
      <w:bookmarkStart w:id="21" w:name="_Toc30795"/>
      <w:r>
        <w:rPr>
          <w:rFonts w:hint="eastAsia" w:ascii="宋体" w:hAnsi="宋体" w:eastAsia="宋体" w:cs="宋体"/>
          <w:lang w:val="en-US" w:eastAsia="zh-CN"/>
        </w:rPr>
        <w:t>5.2 产品退换情况</w:t>
      </w:r>
      <w:bookmarkEnd w:id="21"/>
      <w:r>
        <w:rPr>
          <w:rFonts w:hint="eastAsia" w:ascii="宋体" w:hAnsi="宋体" w:eastAsia="宋体" w:cs="宋体"/>
          <w:lang w:val="en-US" w:eastAsia="zh-CN"/>
        </w:rPr>
        <w:t xml:space="preserve"> </w:t>
      </w:r>
    </w:p>
    <w:p>
      <w:pPr>
        <w:numPr>
          <w:ilvl w:val="0"/>
          <w:numId w:val="0"/>
        </w:numPr>
        <w:spacing w:line="360" w:lineRule="auto"/>
        <w:ind w:right="0" w:rightChars="0" w:firstLine="440" w:firstLineChars="200"/>
        <w:jc w:val="both"/>
        <w:rPr>
          <w:rFonts w:hint="eastAsia" w:ascii="宋体" w:hAnsi="宋体" w:eastAsia="宋体" w:cs="宋体"/>
          <w:lang w:val="en-US" w:eastAsia="zh-CN"/>
        </w:rPr>
      </w:pPr>
      <w:r>
        <w:rPr>
          <w:rFonts w:hint="eastAsia" w:ascii="宋体" w:hAnsi="宋体" w:eastAsia="宋体" w:cs="宋体"/>
          <w:lang w:val="en-US" w:eastAsia="zh-CN"/>
        </w:rPr>
        <w:t xml:space="preserve">为保证进入流通领域的、由各种原因导致的不合格产品及时、快速、完全的退换， 确保质量安全管理体系的有效性，公司建立了相关制度，明确了产品退换责任，规范了产品退换工作程序。 </w:t>
      </w:r>
    </w:p>
    <w:p>
      <w:pPr>
        <w:numPr>
          <w:ilvl w:val="0"/>
          <w:numId w:val="3"/>
        </w:numPr>
        <w:spacing w:line="360" w:lineRule="auto"/>
        <w:ind w:left="0" w:leftChars="0" w:right="0" w:rightChars="0" w:firstLine="0" w:firstLineChars="0"/>
        <w:jc w:val="both"/>
        <w:outlineLvl w:val="1"/>
        <w:rPr>
          <w:rFonts w:hint="eastAsia" w:ascii="宋体" w:hAnsi="宋体" w:eastAsia="宋体" w:cs="宋体"/>
          <w:lang w:val="en-US" w:eastAsia="zh-CN"/>
        </w:rPr>
      </w:pPr>
      <w:bookmarkStart w:id="22" w:name="_Toc29032"/>
      <w:r>
        <w:rPr>
          <w:rFonts w:hint="eastAsia" w:ascii="宋体" w:hAnsi="宋体" w:eastAsia="宋体" w:cs="宋体"/>
          <w:b/>
          <w:bCs/>
          <w:lang w:val="en-US" w:eastAsia="zh-CN"/>
        </w:rPr>
        <w:t>质量风险控制</w:t>
      </w:r>
      <w:bookmarkEnd w:id="22"/>
      <w:r>
        <w:rPr>
          <w:rFonts w:hint="eastAsia" w:ascii="宋体" w:hAnsi="宋体" w:eastAsia="宋体" w:cs="宋体"/>
          <w:lang w:val="en-US" w:eastAsia="zh-CN"/>
        </w:rPr>
        <w:t xml:space="preserve"> </w:t>
      </w:r>
    </w:p>
    <w:p>
      <w:pPr>
        <w:numPr>
          <w:ilvl w:val="0"/>
          <w:numId w:val="0"/>
        </w:numPr>
        <w:spacing w:line="360" w:lineRule="auto"/>
        <w:ind w:leftChars="0" w:right="0" w:rightChars="0"/>
        <w:jc w:val="both"/>
        <w:outlineLvl w:val="2"/>
        <w:rPr>
          <w:rFonts w:hint="eastAsia" w:ascii="宋体" w:hAnsi="宋体" w:eastAsia="宋体" w:cs="宋体"/>
          <w:lang w:val="en-US" w:eastAsia="zh-CN"/>
        </w:rPr>
      </w:pPr>
      <w:bookmarkStart w:id="23" w:name="_Toc31492"/>
      <w:r>
        <w:rPr>
          <w:rFonts w:hint="eastAsia" w:ascii="宋体" w:hAnsi="宋体" w:eastAsia="宋体" w:cs="宋体"/>
          <w:lang w:val="en-US" w:eastAsia="zh-CN"/>
        </w:rPr>
        <w:t>6.1 质量投诉处理</w:t>
      </w:r>
      <w:bookmarkEnd w:id="23"/>
      <w:r>
        <w:rPr>
          <w:rFonts w:hint="eastAsia" w:ascii="宋体" w:hAnsi="宋体" w:eastAsia="宋体" w:cs="宋体"/>
          <w:lang w:val="en-US" w:eastAsia="zh-CN"/>
        </w:rPr>
        <w:t xml:space="preserve"> </w:t>
      </w:r>
    </w:p>
    <w:p>
      <w:pPr>
        <w:numPr>
          <w:ilvl w:val="0"/>
          <w:numId w:val="0"/>
        </w:numPr>
        <w:spacing w:line="360" w:lineRule="auto"/>
        <w:ind w:leftChars="0" w:right="0" w:rightChars="0" w:firstLine="440" w:firstLineChars="200"/>
        <w:jc w:val="both"/>
        <w:rPr>
          <w:rFonts w:hint="eastAsia" w:ascii="宋体" w:hAnsi="宋体" w:eastAsia="宋体" w:cs="宋体"/>
          <w:lang w:val="en-US" w:eastAsia="zh-CN"/>
        </w:rPr>
      </w:pPr>
      <w:r>
        <w:rPr>
          <w:rFonts w:hint="eastAsia" w:ascii="宋体" w:hAnsi="宋体" w:eastAsia="宋体" w:cs="宋体"/>
          <w:lang w:val="en-US" w:eastAsia="zh-CN"/>
        </w:rPr>
        <w:t>为了能及时接收、处理各类顾客的咨询和投诉，不断提高顾客满意度，公司制定了顾客投诉受理流程，并统一由客户服务小组对来自顾客的各类咨询和投诉进行调查、判定和处理，及时响应和处理问题项，确保持续提高顾客满意度。 客户投诉处理流程，如下图示：</w:t>
      </w:r>
    </w:p>
    <w:p>
      <w:pPr>
        <w:numPr>
          <w:ilvl w:val="0"/>
          <w:numId w:val="0"/>
        </w:numPr>
        <w:spacing w:line="360" w:lineRule="auto"/>
        <w:ind w:right="0" w:rightChars="0"/>
        <w:jc w:val="both"/>
        <w:rPr>
          <w:rFonts w:hint="eastAsia" w:ascii="宋体" w:hAnsi="宋体" w:eastAsia="宋体" w:cs="宋体"/>
        </w:rPr>
      </w:pPr>
      <w:r>
        <w:rPr>
          <w:rFonts w:hint="eastAsia" w:ascii="宋体" w:hAnsi="宋体" w:eastAsia="宋体" w:cs="宋体"/>
        </w:rPr>
        <w:drawing>
          <wp:inline distT="0" distB="0" distL="114300" distR="114300">
            <wp:extent cx="4152900" cy="6772275"/>
            <wp:effectExtent l="0" t="0" r="0" b="9525"/>
            <wp:docPr id="10"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3"/>
                    <pic:cNvPicPr>
                      <a:picLocks noChangeAspect="1"/>
                    </pic:cNvPicPr>
                  </pic:nvPicPr>
                  <pic:blipFill>
                    <a:blip r:embed="rId12"/>
                    <a:stretch>
                      <a:fillRect/>
                    </a:stretch>
                  </pic:blipFill>
                  <pic:spPr>
                    <a:xfrm>
                      <a:off x="0" y="0"/>
                      <a:ext cx="4152900" cy="6772275"/>
                    </a:xfrm>
                    <a:prstGeom prst="rect">
                      <a:avLst/>
                    </a:prstGeom>
                    <a:noFill/>
                    <a:ln>
                      <a:noFill/>
                    </a:ln>
                  </pic:spPr>
                </pic:pic>
              </a:graphicData>
            </a:graphic>
          </wp:inline>
        </w:drawing>
      </w:r>
    </w:p>
    <w:p>
      <w:pPr>
        <w:numPr>
          <w:ilvl w:val="0"/>
          <w:numId w:val="0"/>
        </w:numPr>
        <w:spacing w:line="360" w:lineRule="auto"/>
        <w:ind w:right="0" w:rightChars="0"/>
        <w:jc w:val="both"/>
        <w:outlineLvl w:val="2"/>
        <w:rPr>
          <w:rFonts w:hint="eastAsia" w:ascii="宋体" w:hAnsi="宋体" w:eastAsia="宋体" w:cs="宋体"/>
          <w:lang w:val="en-US" w:eastAsia="zh-CN"/>
        </w:rPr>
      </w:pPr>
      <w:bookmarkStart w:id="24" w:name="_Toc11591"/>
      <w:r>
        <w:rPr>
          <w:rFonts w:hint="eastAsia" w:ascii="宋体" w:hAnsi="宋体" w:eastAsia="宋体" w:cs="宋体"/>
          <w:lang w:val="en-US" w:eastAsia="zh-CN"/>
        </w:rPr>
        <w:t>6.2 质量风险监测</w:t>
      </w:r>
      <w:bookmarkEnd w:id="24"/>
      <w:r>
        <w:rPr>
          <w:rFonts w:hint="eastAsia" w:ascii="宋体" w:hAnsi="宋体" w:eastAsia="宋体" w:cs="宋体"/>
          <w:lang w:val="en-US" w:eastAsia="zh-CN"/>
        </w:rPr>
        <w:t xml:space="preserve"> </w:t>
      </w:r>
    </w:p>
    <w:p>
      <w:pPr>
        <w:numPr>
          <w:ilvl w:val="0"/>
          <w:numId w:val="0"/>
        </w:numPr>
        <w:spacing w:line="360" w:lineRule="auto"/>
        <w:ind w:right="0" w:rightChars="0" w:firstLine="440" w:firstLineChars="200"/>
        <w:jc w:val="both"/>
        <w:rPr>
          <w:rFonts w:hint="eastAsia" w:ascii="宋体" w:hAnsi="宋体" w:eastAsia="宋体" w:cs="宋体"/>
          <w:lang w:val="en-US" w:eastAsia="zh-CN"/>
        </w:rPr>
      </w:pPr>
      <w:r>
        <w:rPr>
          <w:rFonts w:hint="eastAsia" w:ascii="宋体" w:hAnsi="宋体" w:eastAsia="宋体" w:cs="宋体"/>
          <w:lang w:val="en-US" w:eastAsia="zh-CN"/>
        </w:rPr>
        <w:t>公司在防范产品质量安全与风险时，实施全面风险管理，由公司管理层和所有员工共 同参与，并将风险意识转化为全体员工的共同认识和自觉行动，通过风险管理专业人才、系统科学的方法来实施，以确保所有的风险都得到识别，对识别的风险进行衡量并得以有效控制。</w:t>
      </w:r>
    </w:p>
    <w:p>
      <w:pPr>
        <w:numPr>
          <w:ilvl w:val="0"/>
          <w:numId w:val="0"/>
        </w:numPr>
        <w:spacing w:line="360" w:lineRule="auto"/>
        <w:ind w:right="0" w:rightChars="0"/>
        <w:jc w:val="both"/>
        <w:rPr>
          <w:rFonts w:hint="eastAsia" w:ascii="宋体" w:hAnsi="宋体" w:eastAsia="宋体" w:cs="宋体"/>
          <w:lang w:val="en-US" w:eastAsia="zh-CN"/>
        </w:rPr>
      </w:pPr>
      <w:r>
        <w:rPr>
          <w:rFonts w:hint="eastAsia" w:ascii="宋体" w:hAnsi="宋体" w:eastAsia="宋体" w:cs="宋体"/>
          <w:lang w:val="en-US" w:eastAsia="zh-CN"/>
        </w:rPr>
        <w:t xml:space="preserve">6.2.1 建立风险与机遇应对控制程序 </w:t>
      </w:r>
    </w:p>
    <w:p>
      <w:pPr>
        <w:numPr>
          <w:ilvl w:val="0"/>
          <w:numId w:val="0"/>
        </w:numPr>
        <w:spacing w:line="360" w:lineRule="auto"/>
        <w:ind w:right="0" w:rightChars="0" w:firstLine="440" w:firstLineChars="200"/>
        <w:jc w:val="both"/>
        <w:rPr>
          <w:rFonts w:hint="eastAsia" w:ascii="宋体" w:hAnsi="宋体" w:eastAsia="宋体" w:cs="宋体"/>
          <w:lang w:val="en-US" w:eastAsia="zh-CN"/>
        </w:rPr>
      </w:pPr>
      <w:r>
        <w:rPr>
          <w:rFonts w:hint="eastAsia" w:ascii="宋体" w:hAnsi="宋体" w:eastAsia="宋体" w:cs="宋体"/>
          <w:lang w:val="en-US" w:eastAsia="zh-CN"/>
        </w:rPr>
        <w:t xml:space="preserve">公司领导注重营造内部重视风险的意识，建立了风险与机遇应对控制程序，通过各类专题会议以及其它内部宣传渠道，培养各级管理者的风险管理意识，提升企业对各类风险 预测能力和应对能力。 同时，公司重视培养组织未来的各层次领导者，建立了适应组织战略发展的人才评价和开发机制。通过开展“人才素质测评”、“关键岗位胜任力分析”、“领导者胜任力测 评”等专业方法，动态识别了员工的素质和能力；推行了“人才轮岗计划”、“人才盘点计划”以及“个性化教育培养计划”，提升了各层次领导者能力，实现了人才的快速成长和梯队建设。 </w:t>
      </w:r>
    </w:p>
    <w:p>
      <w:pPr>
        <w:numPr>
          <w:ilvl w:val="0"/>
          <w:numId w:val="0"/>
        </w:numPr>
        <w:spacing w:line="360" w:lineRule="auto"/>
        <w:ind w:right="0" w:rightChars="0"/>
        <w:jc w:val="both"/>
        <w:rPr>
          <w:rFonts w:hint="eastAsia" w:ascii="宋体" w:hAnsi="宋体" w:eastAsia="宋体" w:cs="宋体"/>
          <w:lang w:val="en-US" w:eastAsia="zh-CN"/>
        </w:rPr>
      </w:pPr>
      <w:r>
        <w:rPr>
          <w:rFonts w:hint="eastAsia" w:ascii="宋体" w:hAnsi="宋体" w:eastAsia="宋体" w:cs="宋体"/>
          <w:lang w:val="en-US" w:eastAsia="zh-CN"/>
        </w:rPr>
        <w:t xml:space="preserve">6.2.2 建立质量预警制度 </w:t>
      </w:r>
    </w:p>
    <w:p>
      <w:pPr>
        <w:numPr>
          <w:ilvl w:val="0"/>
          <w:numId w:val="0"/>
        </w:numPr>
        <w:spacing w:line="360" w:lineRule="auto"/>
        <w:ind w:right="0" w:rightChars="0" w:firstLine="440" w:firstLineChars="200"/>
        <w:jc w:val="both"/>
        <w:rPr>
          <w:rFonts w:hint="eastAsia" w:ascii="宋体" w:hAnsi="宋体" w:eastAsia="宋体" w:cs="宋体"/>
          <w:lang w:val="en-US" w:eastAsia="zh-CN"/>
        </w:rPr>
      </w:pPr>
      <w:r>
        <w:rPr>
          <w:rFonts w:hint="eastAsia" w:ascii="宋体" w:hAnsi="宋体" w:eastAsia="宋体" w:cs="宋体"/>
          <w:lang w:val="en-US" w:eastAsia="zh-CN"/>
        </w:rPr>
        <w:t xml:space="preserve">公司建立了质量预警制度，通过质量预警，提高对产品质量波动的关注度，对于存在质量隐患的问题、事件发出质量警示，稳定产品质量，控制各类质量损失。 </w:t>
      </w:r>
    </w:p>
    <w:p>
      <w:pPr>
        <w:numPr>
          <w:ilvl w:val="0"/>
          <w:numId w:val="0"/>
        </w:numPr>
        <w:spacing w:line="360" w:lineRule="auto"/>
        <w:ind w:right="0" w:rightChars="0"/>
        <w:jc w:val="both"/>
        <w:rPr>
          <w:rFonts w:hint="eastAsia" w:ascii="宋体" w:hAnsi="宋体" w:eastAsia="宋体" w:cs="宋体"/>
          <w:lang w:val="en-US" w:eastAsia="zh-CN"/>
        </w:rPr>
      </w:pPr>
      <w:r>
        <w:rPr>
          <w:rFonts w:hint="eastAsia" w:ascii="宋体" w:hAnsi="宋体" w:eastAsia="宋体" w:cs="宋体"/>
          <w:lang w:val="en-US" w:eastAsia="zh-CN"/>
        </w:rPr>
        <w:t xml:space="preserve">6.2.3 产品质量风险市场管理 </w:t>
      </w:r>
    </w:p>
    <w:p>
      <w:pPr>
        <w:numPr>
          <w:ilvl w:val="0"/>
          <w:numId w:val="0"/>
        </w:numPr>
        <w:spacing w:line="360" w:lineRule="auto"/>
        <w:ind w:right="0" w:rightChars="0" w:firstLine="440" w:firstLineChars="200"/>
        <w:jc w:val="both"/>
        <w:rPr>
          <w:rFonts w:hint="eastAsia" w:ascii="宋体" w:hAnsi="宋体" w:eastAsia="宋体" w:cs="宋体"/>
          <w:lang w:val="en-US" w:eastAsia="zh-CN"/>
        </w:rPr>
      </w:pPr>
      <w:r>
        <w:rPr>
          <w:rFonts w:hint="eastAsia" w:ascii="宋体" w:hAnsi="宋体" w:eastAsia="宋体" w:cs="宋体"/>
          <w:lang w:val="en-US" w:eastAsia="zh-CN"/>
        </w:rPr>
        <w:t xml:space="preserve">通过售前、售中和售后三个阶段为用户提供全程的服务，并适时监测和分析质量风险。 </w:t>
      </w:r>
    </w:p>
    <w:p>
      <w:pPr>
        <w:numPr>
          <w:ilvl w:val="0"/>
          <w:numId w:val="0"/>
        </w:numPr>
        <w:spacing w:line="360" w:lineRule="auto"/>
        <w:ind w:right="0" w:rightChars="0" w:firstLine="440" w:firstLineChars="200"/>
        <w:jc w:val="both"/>
        <w:rPr>
          <w:rFonts w:hint="eastAsia" w:ascii="宋体" w:hAnsi="宋体" w:eastAsia="宋体" w:cs="宋体"/>
          <w:lang w:val="en-US" w:eastAsia="zh-CN"/>
        </w:rPr>
      </w:pPr>
      <w:r>
        <w:rPr>
          <w:rFonts w:hint="eastAsia" w:ascii="宋体" w:hAnsi="宋体" w:eastAsia="宋体" w:cs="宋体"/>
          <w:lang w:val="en-US" w:eastAsia="zh-CN"/>
        </w:rPr>
        <w:t xml:space="preserve">在售前阶段，通过分析用户的应用需求、使用条件等情况，提供合适产品选型建议书； 在售中阶段，确保产品合格，出厂前做好各项指标检测；在售后阶段，通过公司的服务体系， 监测各类质量风险。 </w:t>
      </w:r>
    </w:p>
    <w:p>
      <w:pPr>
        <w:numPr>
          <w:ilvl w:val="0"/>
          <w:numId w:val="0"/>
        </w:numPr>
        <w:spacing w:line="360" w:lineRule="auto"/>
        <w:ind w:right="0" w:rightChars="0" w:firstLine="440" w:firstLineChars="200"/>
        <w:jc w:val="both"/>
        <w:rPr>
          <w:rFonts w:hint="eastAsia" w:ascii="宋体" w:hAnsi="宋体" w:eastAsia="宋体" w:cs="宋体"/>
          <w:lang w:val="en-US" w:eastAsia="zh-CN"/>
        </w:rPr>
      </w:pPr>
      <w:r>
        <w:rPr>
          <w:rFonts w:hint="eastAsia" w:ascii="宋体" w:hAnsi="宋体" w:eastAsia="宋体" w:cs="宋体"/>
          <w:lang w:val="en-US" w:eastAsia="zh-CN"/>
        </w:rPr>
        <w:t>对于各类营销、服务人员，通过产品知识、服务技能等内容的培训，提高质量风险意识， 正确识别日常工作中的质量安全风险点。</w:t>
      </w:r>
      <w:r>
        <w:rPr>
          <w:rFonts w:hint="eastAsia" w:ascii="宋体" w:hAnsi="宋体" w:eastAsia="宋体" w:cs="宋体"/>
        </w:rPr>
        <w:drawing>
          <wp:anchor distT="0" distB="0" distL="0" distR="0" simplePos="0" relativeHeight="251662336" behindDoc="1" locked="0" layoutInCell="1" allowOverlap="1">
            <wp:simplePos x="0" y="0"/>
            <wp:positionH relativeFrom="page">
              <wp:posOffset>1311275</wp:posOffset>
            </wp:positionH>
            <wp:positionV relativeFrom="paragraph">
              <wp:posOffset>-14733905</wp:posOffset>
            </wp:positionV>
            <wp:extent cx="4399915" cy="7332345"/>
            <wp:effectExtent l="0" t="0" r="635" b="1905"/>
            <wp:wrapNone/>
            <wp:docPr id="8"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14.png"/>
                    <pic:cNvPicPr>
                      <a:picLocks noChangeAspect="1"/>
                    </pic:cNvPicPr>
                  </pic:nvPicPr>
                  <pic:blipFill>
                    <a:blip r:embed="rId13" cstate="print"/>
                    <a:stretch>
                      <a:fillRect/>
                    </a:stretch>
                  </pic:blipFill>
                  <pic:spPr>
                    <a:xfrm>
                      <a:off x="0" y="0"/>
                      <a:ext cx="4399915" cy="7332345"/>
                    </a:xfrm>
                    <a:prstGeom prst="rect">
                      <a:avLst/>
                    </a:prstGeom>
                  </pic:spPr>
                </pic:pic>
              </a:graphicData>
            </a:graphic>
          </wp:anchor>
        </w:drawing>
      </w:r>
      <w:r>
        <w:rPr>
          <w:rFonts w:hint="eastAsia" w:ascii="宋体" w:hAnsi="宋体" w:eastAsia="宋体" w:cs="宋体"/>
        </w:rPr>
        <w:drawing>
          <wp:anchor distT="0" distB="0" distL="0" distR="0" simplePos="0" relativeHeight="251661312" behindDoc="1" locked="0" layoutInCell="1" allowOverlap="1">
            <wp:simplePos x="0" y="0"/>
            <wp:positionH relativeFrom="page">
              <wp:posOffset>1387475</wp:posOffset>
            </wp:positionH>
            <wp:positionV relativeFrom="paragraph">
              <wp:posOffset>-15153005</wp:posOffset>
            </wp:positionV>
            <wp:extent cx="4399915" cy="7332345"/>
            <wp:effectExtent l="0" t="0" r="635" b="1905"/>
            <wp:wrapNone/>
            <wp:docPr id="7"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14.png"/>
                    <pic:cNvPicPr>
                      <a:picLocks noChangeAspect="1"/>
                    </pic:cNvPicPr>
                  </pic:nvPicPr>
                  <pic:blipFill>
                    <a:blip r:embed="rId13" cstate="print"/>
                    <a:stretch>
                      <a:fillRect/>
                    </a:stretch>
                  </pic:blipFill>
                  <pic:spPr>
                    <a:xfrm>
                      <a:off x="0" y="0"/>
                      <a:ext cx="4399915" cy="7332345"/>
                    </a:xfrm>
                    <a:prstGeom prst="rect">
                      <a:avLst/>
                    </a:prstGeom>
                  </pic:spPr>
                </pic:pic>
              </a:graphicData>
            </a:graphic>
          </wp:anchor>
        </w:drawing>
      </w:r>
      <w:r>
        <w:rPr>
          <w:rFonts w:hint="eastAsia" w:ascii="宋体" w:hAnsi="宋体" w:eastAsia="宋体" w:cs="宋体"/>
        </w:rPr>
        <w:drawing>
          <wp:anchor distT="0" distB="0" distL="0" distR="0" simplePos="0" relativeHeight="251660288" behindDoc="1" locked="0" layoutInCell="1" allowOverlap="1">
            <wp:simplePos x="0" y="0"/>
            <wp:positionH relativeFrom="page">
              <wp:posOffset>1235075</wp:posOffset>
            </wp:positionH>
            <wp:positionV relativeFrom="paragraph">
              <wp:posOffset>-15305405</wp:posOffset>
            </wp:positionV>
            <wp:extent cx="4399915" cy="7332345"/>
            <wp:effectExtent l="0" t="0" r="635" b="1905"/>
            <wp:wrapNone/>
            <wp:docPr id="27"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14.png"/>
                    <pic:cNvPicPr>
                      <a:picLocks noChangeAspect="1"/>
                    </pic:cNvPicPr>
                  </pic:nvPicPr>
                  <pic:blipFill>
                    <a:blip r:embed="rId13" cstate="print"/>
                    <a:stretch>
                      <a:fillRect/>
                    </a:stretch>
                  </pic:blipFill>
                  <pic:spPr>
                    <a:xfrm>
                      <a:off x="0" y="0"/>
                      <a:ext cx="4399915" cy="7332345"/>
                    </a:xfrm>
                    <a:prstGeom prst="rect">
                      <a:avLst/>
                    </a:prstGeom>
                  </pic:spPr>
                </pic:pic>
              </a:graphicData>
            </a:graphic>
          </wp:anchor>
        </w:drawing>
      </w:r>
    </w:p>
    <w:sectPr>
      <w:footerReference r:id="rId5" w:type="default"/>
      <w:pgSz w:w="11906" w:h="16838"/>
      <w:pgMar w:top="1440" w:right="1800" w:bottom="1440" w:left="1800" w:header="851" w:footer="992" w:gutter="0"/>
      <w:pgNumType w:fmt="decimal" w:start="1"/>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rADh6MQIAAGMEAAAOAAAAAAAAAAEAIAAAAB8BAABkcnMvZTJvRG9jLnhtbFBLBQYA&#10;AAAABgAGAFkBAADCBQ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390FF20"/>
    <w:multiLevelType w:val="singleLevel"/>
    <w:tmpl w:val="9390FF20"/>
    <w:lvl w:ilvl="0" w:tentative="0">
      <w:start w:val="4"/>
      <w:numFmt w:val="chineseCounting"/>
      <w:suff w:val="nothing"/>
      <w:lvlText w:val="%1、"/>
      <w:lvlJc w:val="left"/>
      <w:rPr>
        <w:rFonts w:hint="eastAsia"/>
        <w:b/>
        <w:bCs/>
      </w:rPr>
    </w:lvl>
  </w:abstractNum>
  <w:abstractNum w:abstractNumId="1">
    <w:nsid w:val="C84832C1"/>
    <w:multiLevelType w:val="singleLevel"/>
    <w:tmpl w:val="C84832C1"/>
    <w:lvl w:ilvl="0" w:tentative="0">
      <w:start w:val="2"/>
      <w:numFmt w:val="chineseCounting"/>
      <w:suff w:val="space"/>
      <w:lvlText w:val="第%1部分"/>
      <w:lvlJc w:val="left"/>
      <w:rPr>
        <w:rFonts w:hint="eastAsia"/>
      </w:rPr>
    </w:lvl>
  </w:abstractNum>
  <w:abstractNum w:abstractNumId="2">
    <w:nsid w:val="30F48BF1"/>
    <w:multiLevelType w:val="singleLevel"/>
    <w:tmpl w:val="30F48BF1"/>
    <w:lvl w:ilvl="0" w:tentative="0">
      <w:start w:val="1"/>
      <w:numFmt w:val="decimalEnclosedCircleChinese"/>
      <w:suff w:val="space"/>
      <w:lvlText w:val="%1"/>
      <w:lvlJc w:val="left"/>
      <w:rPr>
        <w:rFonts w:hint="eastAsia"/>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9E7522E"/>
    <w:rsid w:val="1ABA67A7"/>
    <w:rsid w:val="3214248D"/>
    <w:rsid w:val="450B654F"/>
    <w:rsid w:val="79E7522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宋体" w:hAnsi="宋体" w:eastAsia="宋体" w:cs="宋体"/>
      <w:sz w:val="22"/>
      <w:szCs w:val="22"/>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6">
    <w:name w:val="WPSOffice手动目录 1"/>
    <w:qFormat/>
    <w:uiPriority w:val="0"/>
    <w:pPr>
      <w:ind w:leftChars="0"/>
    </w:pPr>
    <w:rPr>
      <w:rFonts w:ascii="Times New Roman" w:hAnsi="Times New Roman" w:eastAsia="宋体" w:cs="Times New Roman"/>
      <w:sz w:val="20"/>
      <w:szCs w:val="20"/>
    </w:rPr>
  </w:style>
  <w:style w:type="paragraph" w:customStyle="1" w:styleId="7">
    <w:name w:val="WPSOffice手动目录 2"/>
    <w:qFormat/>
    <w:uiPriority w:val="0"/>
    <w:pPr>
      <w:ind w:leftChars="200"/>
    </w:pPr>
    <w:rPr>
      <w:rFonts w:ascii="Times New Roman" w:hAnsi="Times New Roman" w:eastAsia="宋体" w:cs="Times New Roman"/>
      <w:sz w:val="20"/>
      <w:szCs w:val="20"/>
    </w:rPr>
  </w:style>
  <w:style w:type="paragraph" w:customStyle="1" w:styleId="8">
    <w:name w:val="WPSOffice手动目录 3"/>
    <w:qFormat/>
    <w:uiPriority w:val="0"/>
    <w:pPr>
      <w:ind w:leftChars="400"/>
    </w:pPr>
    <w:rPr>
      <w:rFonts w:ascii="Times New Roman" w:hAnsi="Times New Roman" w:eastAsia="宋体" w:cs="Times New Roman"/>
      <w:sz w:val="20"/>
      <w:szCs w:val="20"/>
    </w:rPr>
  </w:style>
</w:styles>
</file>

<file path=word/_rels/document.xml.rels><?xml version="1.0" encoding="UTF-8" standalone="yes"?>
<Relationships xmlns="http://schemas.openxmlformats.org/package/2006/relationships"><Relationship Id="rId9" Type="http://schemas.openxmlformats.org/officeDocument/2006/relationships/image" Target="media/image3.jpeg"/><Relationship Id="rId8" Type="http://schemas.openxmlformats.org/officeDocument/2006/relationships/image" Target="media/image2.png"/><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image" Target="media/image7.png"/><Relationship Id="rId12" Type="http://schemas.openxmlformats.org/officeDocument/2006/relationships/image" Target="media/image6.png"/><Relationship Id="rId11" Type="http://schemas.openxmlformats.org/officeDocument/2006/relationships/image" Target="media/image5.png"/><Relationship Id="rId10" Type="http://schemas.openxmlformats.org/officeDocument/2006/relationships/image" Target="media/image4.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6</TotalTime>
  <ScaleCrop>false</ScaleCrop>
  <LinksUpToDate>false</LinksUpToDate>
  <CharactersWithSpaces>0</CharactersWithSpaces>
  <Application>WPS Office_11.1.0.11045_F1E327BC-269C-435d-A152-05C5408002CA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2021-11-10T03:05:00Z</dcterms:created>
  <dc:creator>博维知识产权-唐晓华</dc:creator>
  <cp:lastModifiedBy>博维知识产权-唐晓华</cp:lastModifiedBy>
  <dcterms:modified xsi:type="dcterms:W3CDTF">2021-11-15T06:33:16Z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FF23B5401B264E4AB6EB1A26985284FD</vt:lpwstr>
  </property>
</Properties>
</file>